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8F9" w:rsidRPr="00FD011B" w:rsidRDefault="008748F9" w:rsidP="00FD011B">
      <w:pPr>
        <w:pBdr>
          <w:bottom w:val="single" w:sz="4" w:space="1" w:color="auto"/>
        </w:pBdr>
        <w:tabs>
          <w:tab w:val="left" w:pos="4820"/>
        </w:tabs>
        <w:jc w:val="center"/>
        <w:rPr>
          <w:rFonts w:ascii="Arial" w:hAnsi="Arial" w:cs="Arial"/>
          <w:b/>
          <w:sz w:val="24"/>
        </w:rPr>
      </w:pPr>
      <w:r w:rsidRPr="00FD011B">
        <w:rPr>
          <w:rFonts w:ascii="Arial" w:hAnsi="Arial" w:cs="Arial"/>
          <w:b/>
          <w:sz w:val="24"/>
        </w:rPr>
        <w:t>Proposition de la Commission européenne pour le cadre financier multi-annuel de l’UE 2021-2027</w:t>
      </w:r>
    </w:p>
    <w:p w:rsidR="00110B7B" w:rsidRDefault="00110B7B" w:rsidP="00FD011B">
      <w:pPr>
        <w:spacing w:after="0"/>
        <w:jc w:val="both"/>
        <w:rPr>
          <w:rFonts w:ascii="Arial" w:hAnsi="Arial" w:cs="Arial"/>
          <w:sz w:val="20"/>
          <w:szCs w:val="20"/>
        </w:rPr>
      </w:pPr>
      <w:r>
        <w:rPr>
          <w:rFonts w:ascii="Arial" w:hAnsi="Arial" w:cs="Arial"/>
          <w:sz w:val="20"/>
          <w:szCs w:val="20"/>
        </w:rPr>
        <w:t xml:space="preserve">Dans le cadre du prochain budget </w:t>
      </w:r>
      <w:r w:rsidR="00DE68E0">
        <w:rPr>
          <w:rFonts w:ascii="Arial" w:hAnsi="Arial" w:cs="Arial"/>
          <w:sz w:val="20"/>
          <w:szCs w:val="20"/>
        </w:rPr>
        <w:t>multi-annuel</w:t>
      </w:r>
      <w:r>
        <w:rPr>
          <w:rFonts w:ascii="Arial" w:hAnsi="Arial" w:cs="Arial"/>
          <w:sz w:val="20"/>
          <w:szCs w:val="20"/>
        </w:rPr>
        <w:t xml:space="preserve"> de l’UE </w:t>
      </w:r>
      <w:r w:rsidR="00DE68E0">
        <w:rPr>
          <w:rFonts w:ascii="Arial" w:hAnsi="Arial" w:cs="Arial"/>
          <w:sz w:val="20"/>
          <w:szCs w:val="20"/>
        </w:rPr>
        <w:t xml:space="preserve">pour </w:t>
      </w:r>
      <w:r>
        <w:rPr>
          <w:rFonts w:ascii="Arial" w:hAnsi="Arial" w:cs="Arial"/>
          <w:sz w:val="20"/>
          <w:szCs w:val="20"/>
        </w:rPr>
        <w:t xml:space="preserve">la période 2021-2027, la Commission européenne a publié différentes propositions </w:t>
      </w:r>
      <w:r w:rsidR="00DE68E0">
        <w:rPr>
          <w:rFonts w:ascii="Arial" w:hAnsi="Arial" w:cs="Arial"/>
          <w:sz w:val="20"/>
          <w:szCs w:val="20"/>
        </w:rPr>
        <w:t>au</w:t>
      </w:r>
      <w:r>
        <w:rPr>
          <w:rFonts w:ascii="Arial" w:hAnsi="Arial" w:cs="Arial"/>
          <w:sz w:val="20"/>
          <w:szCs w:val="20"/>
        </w:rPr>
        <w:t xml:space="preserve"> mois de mai</w:t>
      </w:r>
      <w:r>
        <w:rPr>
          <w:rStyle w:val="Appelnotedebasdep"/>
          <w:rFonts w:ascii="Arial" w:hAnsi="Arial" w:cs="Arial"/>
          <w:sz w:val="20"/>
          <w:szCs w:val="20"/>
        </w:rPr>
        <w:footnoteReference w:id="1"/>
      </w:r>
      <w:r>
        <w:rPr>
          <w:rFonts w:ascii="Arial" w:hAnsi="Arial" w:cs="Arial"/>
          <w:sz w:val="20"/>
          <w:szCs w:val="20"/>
        </w:rPr>
        <w:t xml:space="preserve"> et </w:t>
      </w:r>
      <w:r w:rsidR="00DE68E0">
        <w:rPr>
          <w:rFonts w:ascii="Arial" w:hAnsi="Arial" w:cs="Arial"/>
          <w:sz w:val="20"/>
          <w:szCs w:val="20"/>
        </w:rPr>
        <w:t xml:space="preserve">de </w:t>
      </w:r>
      <w:r>
        <w:rPr>
          <w:rFonts w:ascii="Arial" w:hAnsi="Arial" w:cs="Arial"/>
          <w:sz w:val="20"/>
          <w:szCs w:val="20"/>
        </w:rPr>
        <w:t>juin 2018</w:t>
      </w:r>
      <w:r>
        <w:rPr>
          <w:rStyle w:val="Appelnotedebasdep"/>
          <w:rFonts w:ascii="Arial" w:hAnsi="Arial" w:cs="Arial"/>
          <w:sz w:val="20"/>
          <w:szCs w:val="20"/>
        </w:rPr>
        <w:footnoteReference w:id="2"/>
      </w:r>
      <w:r>
        <w:rPr>
          <w:rFonts w:ascii="Arial" w:hAnsi="Arial" w:cs="Arial"/>
          <w:sz w:val="20"/>
          <w:szCs w:val="20"/>
        </w:rPr>
        <w:t xml:space="preserve">. </w:t>
      </w:r>
    </w:p>
    <w:p w:rsidR="00110B7B" w:rsidRDefault="00110B7B" w:rsidP="00146D76">
      <w:pPr>
        <w:jc w:val="both"/>
        <w:rPr>
          <w:rFonts w:ascii="Arial" w:hAnsi="Arial" w:cs="Arial"/>
          <w:sz w:val="20"/>
          <w:szCs w:val="20"/>
        </w:rPr>
      </w:pPr>
      <w:r>
        <w:rPr>
          <w:rFonts w:ascii="Arial" w:hAnsi="Arial" w:cs="Arial"/>
          <w:sz w:val="20"/>
          <w:szCs w:val="20"/>
        </w:rPr>
        <w:t>Les questions migratoires</w:t>
      </w:r>
      <w:r w:rsidR="00DE68E0">
        <w:rPr>
          <w:rFonts w:ascii="Arial" w:hAnsi="Arial" w:cs="Arial"/>
          <w:sz w:val="20"/>
          <w:szCs w:val="20"/>
        </w:rPr>
        <w:t xml:space="preserve"> et d’asile</w:t>
      </w:r>
      <w:r>
        <w:rPr>
          <w:rFonts w:ascii="Arial" w:hAnsi="Arial" w:cs="Arial"/>
          <w:sz w:val="20"/>
          <w:szCs w:val="20"/>
        </w:rPr>
        <w:t xml:space="preserve"> figurent dans </w:t>
      </w:r>
      <w:r w:rsidR="00DE68E0">
        <w:rPr>
          <w:rFonts w:ascii="Arial" w:hAnsi="Arial" w:cs="Arial"/>
          <w:sz w:val="20"/>
          <w:szCs w:val="20"/>
        </w:rPr>
        <w:t>les</w:t>
      </w:r>
      <w:r>
        <w:rPr>
          <w:rFonts w:ascii="Arial" w:hAnsi="Arial" w:cs="Arial"/>
          <w:sz w:val="20"/>
          <w:szCs w:val="20"/>
        </w:rPr>
        <w:t xml:space="preserve"> propositions</w:t>
      </w:r>
      <w:r w:rsidR="00DE68E0">
        <w:rPr>
          <w:rFonts w:ascii="Arial" w:hAnsi="Arial" w:cs="Arial"/>
          <w:sz w:val="20"/>
          <w:szCs w:val="20"/>
        </w:rPr>
        <w:t xml:space="preserve"> suivantes</w:t>
      </w:r>
      <w:r>
        <w:rPr>
          <w:rFonts w:ascii="Arial" w:hAnsi="Arial" w:cs="Arial"/>
          <w:sz w:val="20"/>
          <w:szCs w:val="20"/>
        </w:rPr>
        <w:t xml:space="preserve"> de la Commission :</w:t>
      </w:r>
    </w:p>
    <w:p w:rsidR="00B872CC" w:rsidRDefault="00B872CC" w:rsidP="00110B7B">
      <w:pPr>
        <w:pStyle w:val="Paragraphedeliste"/>
        <w:numPr>
          <w:ilvl w:val="0"/>
          <w:numId w:val="11"/>
        </w:numPr>
        <w:spacing w:after="0"/>
        <w:jc w:val="both"/>
        <w:rPr>
          <w:rFonts w:ascii="Arial" w:hAnsi="Arial" w:cs="Arial"/>
          <w:sz w:val="20"/>
          <w:szCs w:val="20"/>
        </w:rPr>
      </w:pPr>
      <w:r>
        <w:rPr>
          <w:rFonts w:ascii="Arial" w:hAnsi="Arial" w:cs="Arial"/>
          <w:sz w:val="20"/>
          <w:szCs w:val="20"/>
        </w:rPr>
        <w:t>Volet 4 : Gestion des migrations et des frontières</w:t>
      </w:r>
    </w:p>
    <w:p w:rsidR="00B872CC" w:rsidRDefault="00110B7B" w:rsidP="00B872CC">
      <w:pPr>
        <w:pStyle w:val="Paragraphedeliste"/>
        <w:numPr>
          <w:ilvl w:val="1"/>
          <w:numId w:val="11"/>
        </w:numPr>
        <w:spacing w:after="0"/>
        <w:jc w:val="both"/>
        <w:rPr>
          <w:rFonts w:ascii="Arial" w:hAnsi="Arial" w:cs="Arial"/>
          <w:sz w:val="20"/>
          <w:szCs w:val="20"/>
        </w:rPr>
      </w:pPr>
      <w:r>
        <w:rPr>
          <w:rFonts w:ascii="Arial" w:hAnsi="Arial" w:cs="Arial"/>
          <w:sz w:val="20"/>
          <w:szCs w:val="20"/>
        </w:rPr>
        <w:t>Le Fonds « Asile et migration »</w:t>
      </w:r>
    </w:p>
    <w:p w:rsidR="00ED6941" w:rsidRDefault="00B872CC" w:rsidP="00B872CC">
      <w:pPr>
        <w:pStyle w:val="Paragraphedeliste"/>
        <w:numPr>
          <w:ilvl w:val="1"/>
          <w:numId w:val="11"/>
        </w:numPr>
        <w:spacing w:after="0"/>
        <w:jc w:val="both"/>
        <w:rPr>
          <w:rFonts w:ascii="Arial" w:hAnsi="Arial" w:cs="Arial"/>
          <w:sz w:val="20"/>
          <w:szCs w:val="20"/>
        </w:rPr>
      </w:pPr>
      <w:r>
        <w:rPr>
          <w:rFonts w:ascii="Arial" w:hAnsi="Arial" w:cs="Arial"/>
          <w:sz w:val="20"/>
          <w:szCs w:val="20"/>
        </w:rPr>
        <w:t>L</w:t>
      </w:r>
      <w:r w:rsidR="00ED6941">
        <w:rPr>
          <w:rFonts w:ascii="Arial" w:hAnsi="Arial" w:cs="Arial"/>
          <w:sz w:val="20"/>
          <w:szCs w:val="20"/>
        </w:rPr>
        <w:t xml:space="preserve">e nouveau Fonds pour la gestion intégrée des frontières (FGIF) pour la </w:t>
      </w:r>
      <w:r w:rsidR="00DE68E0">
        <w:rPr>
          <w:rFonts w:ascii="Arial" w:hAnsi="Arial" w:cs="Arial"/>
          <w:sz w:val="20"/>
          <w:szCs w:val="20"/>
        </w:rPr>
        <w:t xml:space="preserve">gestion des frontières </w:t>
      </w:r>
      <w:proofErr w:type="spellStart"/>
      <w:r w:rsidR="00DE68E0">
        <w:rPr>
          <w:rFonts w:ascii="Arial" w:hAnsi="Arial" w:cs="Arial"/>
          <w:sz w:val="20"/>
          <w:szCs w:val="20"/>
        </w:rPr>
        <w:t>extér</w:t>
      </w:r>
      <w:proofErr w:type="spellEnd"/>
      <w:r>
        <w:rPr>
          <w:rFonts w:ascii="Arial" w:hAnsi="Arial" w:cs="Arial"/>
          <w:sz w:val="20"/>
          <w:szCs w:val="20"/>
        </w:rPr>
        <w:t> ;</w:t>
      </w:r>
    </w:p>
    <w:p w:rsidR="00B872CC" w:rsidRDefault="00B872CC" w:rsidP="00110B7B">
      <w:pPr>
        <w:pStyle w:val="Paragraphedeliste"/>
        <w:numPr>
          <w:ilvl w:val="0"/>
          <w:numId w:val="11"/>
        </w:numPr>
        <w:spacing w:after="0"/>
        <w:jc w:val="both"/>
        <w:rPr>
          <w:rFonts w:ascii="Arial" w:hAnsi="Arial" w:cs="Arial"/>
          <w:sz w:val="20"/>
          <w:szCs w:val="20"/>
        </w:rPr>
      </w:pPr>
      <w:r>
        <w:rPr>
          <w:rFonts w:ascii="Arial" w:hAnsi="Arial" w:cs="Arial"/>
          <w:sz w:val="20"/>
          <w:szCs w:val="20"/>
        </w:rPr>
        <w:t>Volet 2 : Cohésion et valeurs (pour les mesures d’intégration à long terme)</w:t>
      </w:r>
    </w:p>
    <w:p w:rsidR="00B872CC" w:rsidRDefault="00ED6941" w:rsidP="00B872CC">
      <w:pPr>
        <w:pStyle w:val="Paragraphedeliste"/>
        <w:numPr>
          <w:ilvl w:val="1"/>
          <w:numId w:val="11"/>
        </w:numPr>
        <w:spacing w:after="0"/>
        <w:jc w:val="both"/>
        <w:rPr>
          <w:rFonts w:ascii="Arial" w:hAnsi="Arial" w:cs="Arial"/>
          <w:sz w:val="20"/>
          <w:szCs w:val="20"/>
        </w:rPr>
      </w:pPr>
      <w:r>
        <w:rPr>
          <w:rFonts w:ascii="Arial" w:hAnsi="Arial" w:cs="Arial"/>
          <w:sz w:val="20"/>
          <w:szCs w:val="20"/>
        </w:rPr>
        <w:t xml:space="preserve">Le </w:t>
      </w:r>
      <w:r w:rsidR="00B872CC">
        <w:rPr>
          <w:rFonts w:ascii="Arial" w:hAnsi="Arial" w:cs="Arial"/>
          <w:sz w:val="20"/>
          <w:szCs w:val="20"/>
        </w:rPr>
        <w:t xml:space="preserve">Fonds Social Européen+ (FSE+) (point 7 </w:t>
      </w:r>
      <w:r w:rsidR="00B872CC">
        <w:rPr>
          <w:rFonts w:ascii="Arial" w:hAnsi="Arial" w:cs="Arial"/>
          <w:i/>
          <w:sz w:val="20"/>
          <w:szCs w:val="20"/>
        </w:rPr>
        <w:t>Investir dans le capital humain, la cohésion sociale et les valeurs)</w:t>
      </w:r>
      <w:r w:rsidR="00B872CC">
        <w:rPr>
          <w:rFonts w:ascii="Arial" w:hAnsi="Arial" w:cs="Arial"/>
          <w:sz w:val="20"/>
          <w:szCs w:val="20"/>
        </w:rPr>
        <w:t>;</w:t>
      </w:r>
    </w:p>
    <w:p w:rsidR="00110B7B" w:rsidRDefault="00B872CC" w:rsidP="00B872CC">
      <w:pPr>
        <w:pStyle w:val="Paragraphedeliste"/>
        <w:numPr>
          <w:ilvl w:val="1"/>
          <w:numId w:val="11"/>
        </w:numPr>
        <w:spacing w:after="0"/>
        <w:jc w:val="both"/>
        <w:rPr>
          <w:rFonts w:ascii="Arial" w:hAnsi="Arial" w:cs="Arial"/>
          <w:sz w:val="20"/>
          <w:szCs w:val="20"/>
        </w:rPr>
      </w:pPr>
      <w:r>
        <w:rPr>
          <w:rFonts w:ascii="Arial" w:hAnsi="Arial" w:cs="Arial"/>
          <w:sz w:val="20"/>
          <w:szCs w:val="20"/>
        </w:rPr>
        <w:t>L</w:t>
      </w:r>
      <w:r w:rsidR="00ED6941">
        <w:rPr>
          <w:rFonts w:ascii="Arial" w:hAnsi="Arial" w:cs="Arial"/>
          <w:sz w:val="20"/>
          <w:szCs w:val="20"/>
        </w:rPr>
        <w:t>e Fonds Européen pour le Développement Régional (</w:t>
      </w:r>
      <w:r w:rsidR="00FE3914">
        <w:rPr>
          <w:rFonts w:ascii="Arial" w:hAnsi="Arial" w:cs="Arial"/>
          <w:sz w:val="20"/>
          <w:szCs w:val="20"/>
        </w:rPr>
        <w:t>FEDR</w:t>
      </w:r>
      <w:r w:rsidR="00ED6941">
        <w:rPr>
          <w:rFonts w:ascii="Arial" w:hAnsi="Arial" w:cs="Arial"/>
          <w:sz w:val="20"/>
          <w:szCs w:val="20"/>
        </w:rPr>
        <w:t>)</w:t>
      </w:r>
      <w:r>
        <w:rPr>
          <w:rFonts w:ascii="Arial" w:hAnsi="Arial" w:cs="Arial"/>
          <w:sz w:val="20"/>
          <w:szCs w:val="20"/>
        </w:rPr>
        <w:t xml:space="preserve"> (point 5 </w:t>
      </w:r>
      <w:r>
        <w:rPr>
          <w:rFonts w:ascii="Arial" w:hAnsi="Arial" w:cs="Arial"/>
          <w:i/>
          <w:sz w:val="20"/>
          <w:szCs w:val="20"/>
        </w:rPr>
        <w:t>Développement régional et cohésion)</w:t>
      </w:r>
      <w:r>
        <w:rPr>
          <w:rFonts w:ascii="Arial" w:hAnsi="Arial" w:cs="Arial"/>
          <w:sz w:val="20"/>
          <w:szCs w:val="20"/>
        </w:rPr>
        <w:t xml:space="preserve">. </w:t>
      </w:r>
    </w:p>
    <w:p w:rsidR="00ED6941" w:rsidRDefault="00ED6941" w:rsidP="00FD011B">
      <w:pPr>
        <w:spacing w:after="0"/>
        <w:jc w:val="both"/>
        <w:rPr>
          <w:rFonts w:ascii="Arial" w:hAnsi="Arial" w:cs="Arial"/>
          <w:sz w:val="20"/>
          <w:szCs w:val="20"/>
        </w:rPr>
      </w:pPr>
    </w:p>
    <w:p w:rsidR="00B872CC" w:rsidRDefault="00B872CC" w:rsidP="00FD011B">
      <w:pPr>
        <w:spacing w:after="0"/>
        <w:jc w:val="both"/>
        <w:rPr>
          <w:rFonts w:ascii="Arial" w:hAnsi="Arial" w:cs="Arial"/>
          <w:sz w:val="20"/>
          <w:szCs w:val="20"/>
        </w:rPr>
      </w:pPr>
      <w:r>
        <w:rPr>
          <w:noProof/>
          <w:lang w:eastAsia="fr-FR"/>
        </w:rPr>
        <w:drawing>
          <wp:inline distT="0" distB="0" distL="0" distR="0" wp14:anchorId="7D432C40" wp14:editId="3894D47B">
            <wp:extent cx="4869180" cy="3498917"/>
            <wp:effectExtent l="0" t="0" r="762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00999" cy="3521781"/>
                    </a:xfrm>
                    <a:prstGeom prst="rect">
                      <a:avLst/>
                    </a:prstGeom>
                  </pic:spPr>
                </pic:pic>
              </a:graphicData>
            </a:graphic>
          </wp:inline>
        </w:drawing>
      </w:r>
    </w:p>
    <w:p w:rsidR="008009D6" w:rsidRDefault="008009D6" w:rsidP="00FD011B">
      <w:pPr>
        <w:spacing w:after="0"/>
        <w:jc w:val="both"/>
        <w:rPr>
          <w:rFonts w:ascii="Arial" w:hAnsi="Arial" w:cs="Arial"/>
          <w:sz w:val="20"/>
          <w:szCs w:val="20"/>
        </w:rPr>
      </w:pPr>
      <w:r>
        <w:rPr>
          <w:rFonts w:ascii="Arial" w:hAnsi="Arial" w:cs="Arial"/>
          <w:sz w:val="20"/>
          <w:szCs w:val="20"/>
        </w:rPr>
        <w:t>Des règles communes s’appliqueront à tous les fonds faisant l’objet d’une gestion par</w:t>
      </w:r>
      <w:r w:rsidR="009D54FC">
        <w:rPr>
          <w:rFonts w:ascii="Arial" w:hAnsi="Arial" w:cs="Arial"/>
          <w:sz w:val="20"/>
          <w:szCs w:val="20"/>
        </w:rPr>
        <w:t xml:space="preserve">tagée notamment le </w:t>
      </w:r>
      <w:r w:rsidR="00FE3914">
        <w:rPr>
          <w:rFonts w:ascii="Arial" w:hAnsi="Arial" w:cs="Arial"/>
          <w:sz w:val="20"/>
          <w:szCs w:val="20"/>
        </w:rPr>
        <w:t>FEDR</w:t>
      </w:r>
      <w:r w:rsidR="009D54FC">
        <w:rPr>
          <w:rFonts w:ascii="Arial" w:hAnsi="Arial" w:cs="Arial"/>
          <w:sz w:val="20"/>
          <w:szCs w:val="20"/>
        </w:rPr>
        <w:t>, le FSE+, le Fonds « Asile et Migration »</w:t>
      </w:r>
      <w:r>
        <w:rPr>
          <w:rFonts w:ascii="Arial" w:hAnsi="Arial" w:cs="Arial"/>
          <w:sz w:val="20"/>
          <w:szCs w:val="20"/>
        </w:rPr>
        <w:t xml:space="preserve"> </w:t>
      </w:r>
      <w:r w:rsidR="009D54FC">
        <w:rPr>
          <w:rFonts w:ascii="Arial" w:hAnsi="Arial" w:cs="Arial"/>
          <w:sz w:val="20"/>
          <w:szCs w:val="20"/>
        </w:rPr>
        <w:t xml:space="preserve">et le FGIF. La convergence des règles devrait renforcer la cohérence et les synergies entre ces Fonds. </w:t>
      </w:r>
    </w:p>
    <w:p w:rsidR="00B872CC" w:rsidRDefault="00B872CC" w:rsidP="00FD011B">
      <w:pPr>
        <w:spacing w:after="0"/>
        <w:jc w:val="both"/>
        <w:rPr>
          <w:rFonts w:ascii="Arial" w:hAnsi="Arial" w:cs="Arial"/>
          <w:sz w:val="20"/>
          <w:szCs w:val="20"/>
        </w:rPr>
      </w:pPr>
    </w:p>
    <w:p w:rsidR="00ED6941" w:rsidRPr="00F04BE2" w:rsidRDefault="00ED6941" w:rsidP="00F04BE2">
      <w:pPr>
        <w:pStyle w:val="Paragraphedeliste"/>
        <w:numPr>
          <w:ilvl w:val="0"/>
          <w:numId w:val="12"/>
        </w:numPr>
        <w:jc w:val="both"/>
        <w:rPr>
          <w:rFonts w:ascii="Arial" w:hAnsi="Arial" w:cs="Arial"/>
          <w:b/>
          <w:szCs w:val="20"/>
        </w:rPr>
      </w:pPr>
      <w:r w:rsidRPr="00F04BE2">
        <w:rPr>
          <w:rFonts w:ascii="Arial" w:hAnsi="Arial" w:cs="Arial"/>
          <w:b/>
          <w:szCs w:val="20"/>
        </w:rPr>
        <w:t>La gestion des migrations et des frontières</w:t>
      </w:r>
    </w:p>
    <w:p w:rsidR="00FD011B" w:rsidRPr="00644679" w:rsidRDefault="00ED6941" w:rsidP="00FD011B">
      <w:pPr>
        <w:spacing w:after="0"/>
        <w:jc w:val="both"/>
        <w:rPr>
          <w:rFonts w:ascii="Arial" w:hAnsi="Arial" w:cs="Arial"/>
          <w:sz w:val="20"/>
          <w:szCs w:val="20"/>
        </w:rPr>
      </w:pPr>
      <w:r>
        <w:rPr>
          <w:rFonts w:ascii="Arial" w:hAnsi="Arial" w:cs="Arial"/>
          <w:sz w:val="20"/>
          <w:szCs w:val="20"/>
        </w:rPr>
        <w:t>Le 12 juin 2018, l</w:t>
      </w:r>
      <w:r w:rsidR="00FD011B" w:rsidRPr="00644679">
        <w:rPr>
          <w:rFonts w:ascii="Arial" w:hAnsi="Arial" w:cs="Arial"/>
          <w:sz w:val="20"/>
          <w:szCs w:val="20"/>
        </w:rPr>
        <w:t>a</w:t>
      </w:r>
      <w:r>
        <w:rPr>
          <w:rFonts w:ascii="Arial" w:hAnsi="Arial" w:cs="Arial"/>
          <w:sz w:val="20"/>
          <w:szCs w:val="20"/>
        </w:rPr>
        <w:t xml:space="preserve"> Commission européenne</w:t>
      </w:r>
      <w:r w:rsidR="00DE68E0">
        <w:rPr>
          <w:rFonts w:ascii="Arial" w:hAnsi="Arial" w:cs="Arial"/>
          <w:sz w:val="20"/>
          <w:szCs w:val="20"/>
        </w:rPr>
        <w:t xml:space="preserve"> publie </w:t>
      </w:r>
      <w:hyperlink r:id="rId9" w:history="1">
        <w:r w:rsidR="00FD011B" w:rsidRPr="00644679">
          <w:rPr>
            <w:rStyle w:val="Lienhypertexte"/>
            <w:rFonts w:ascii="Arial" w:hAnsi="Arial" w:cs="Arial"/>
            <w:sz w:val="20"/>
            <w:szCs w:val="20"/>
          </w:rPr>
          <w:t>sa proposition de budget pour la gestion des migrations et des frontières</w:t>
        </w:r>
      </w:hyperlink>
      <w:r>
        <w:rPr>
          <w:rStyle w:val="Appelnotedebasdep"/>
          <w:rFonts w:ascii="Arial" w:hAnsi="Arial" w:cs="Arial"/>
          <w:color w:val="0563C1" w:themeColor="hyperlink"/>
          <w:sz w:val="20"/>
          <w:szCs w:val="20"/>
          <w:u w:val="single"/>
        </w:rPr>
        <w:footnoteReference w:id="3"/>
      </w:r>
      <w:r>
        <w:rPr>
          <w:rFonts w:ascii="Arial" w:hAnsi="Arial" w:cs="Arial"/>
          <w:sz w:val="20"/>
          <w:szCs w:val="20"/>
        </w:rPr>
        <w:t xml:space="preserve"> et </w:t>
      </w:r>
      <w:r w:rsidR="00DE68E0">
        <w:rPr>
          <w:rFonts w:ascii="Arial" w:hAnsi="Arial" w:cs="Arial"/>
          <w:sz w:val="20"/>
          <w:szCs w:val="20"/>
        </w:rPr>
        <w:t>propose</w:t>
      </w:r>
      <w:r>
        <w:rPr>
          <w:rFonts w:ascii="Arial" w:hAnsi="Arial" w:cs="Arial"/>
          <w:sz w:val="20"/>
          <w:szCs w:val="20"/>
        </w:rPr>
        <w:t xml:space="preserve"> de</w:t>
      </w:r>
      <w:r w:rsidR="00DE68E0">
        <w:rPr>
          <w:rFonts w:ascii="Arial" w:hAnsi="Arial" w:cs="Arial"/>
          <w:sz w:val="20"/>
          <w:szCs w:val="20"/>
        </w:rPr>
        <w:t xml:space="preserve"> quasiment</w:t>
      </w:r>
      <w:r>
        <w:rPr>
          <w:rFonts w:ascii="Arial" w:hAnsi="Arial" w:cs="Arial"/>
          <w:sz w:val="20"/>
          <w:szCs w:val="20"/>
        </w:rPr>
        <w:t xml:space="preserve"> tripler les financements dédiés, passant</w:t>
      </w:r>
      <w:r w:rsidR="00FD011B" w:rsidRPr="00644679">
        <w:rPr>
          <w:rFonts w:ascii="Arial" w:hAnsi="Arial" w:cs="Arial"/>
          <w:sz w:val="20"/>
          <w:szCs w:val="20"/>
        </w:rPr>
        <w:t xml:space="preserve"> de 13 </w:t>
      </w:r>
      <w:r w:rsidR="00FD011B" w:rsidRPr="00644679">
        <w:rPr>
          <w:rFonts w:ascii="Arial" w:hAnsi="Arial" w:cs="Arial"/>
          <w:sz w:val="20"/>
          <w:szCs w:val="20"/>
        </w:rPr>
        <w:lastRenderedPageBreak/>
        <w:t>milliards</w:t>
      </w:r>
      <w:r w:rsidR="00DE68E0">
        <w:rPr>
          <w:rFonts w:ascii="Arial" w:hAnsi="Arial" w:cs="Arial"/>
          <w:sz w:val="20"/>
          <w:szCs w:val="20"/>
        </w:rPr>
        <w:t xml:space="preserve"> d’euros</w:t>
      </w:r>
      <w:r w:rsidR="00FD011B" w:rsidRPr="00644679">
        <w:rPr>
          <w:rFonts w:ascii="Arial" w:hAnsi="Arial" w:cs="Arial"/>
          <w:sz w:val="20"/>
          <w:szCs w:val="20"/>
        </w:rPr>
        <w:t xml:space="preserve"> à 34,9 milliards </w:t>
      </w:r>
      <w:r w:rsidR="00DE68E0">
        <w:rPr>
          <w:rFonts w:ascii="Arial" w:hAnsi="Arial" w:cs="Arial"/>
          <w:sz w:val="20"/>
          <w:szCs w:val="20"/>
        </w:rPr>
        <w:t xml:space="preserve">d’euros </w:t>
      </w:r>
      <w:r w:rsidR="00FD011B" w:rsidRPr="00644679">
        <w:rPr>
          <w:rFonts w:ascii="Arial" w:hAnsi="Arial" w:cs="Arial"/>
          <w:sz w:val="20"/>
          <w:szCs w:val="20"/>
        </w:rPr>
        <w:t xml:space="preserve">pour le prochain </w:t>
      </w:r>
      <w:r w:rsidR="00DE68E0">
        <w:rPr>
          <w:rFonts w:ascii="Arial" w:hAnsi="Arial" w:cs="Arial"/>
          <w:sz w:val="20"/>
          <w:szCs w:val="20"/>
        </w:rPr>
        <w:t>budget</w:t>
      </w:r>
      <w:r w:rsidR="00FD011B" w:rsidRPr="00644679">
        <w:rPr>
          <w:rFonts w:ascii="Arial" w:hAnsi="Arial" w:cs="Arial"/>
          <w:sz w:val="20"/>
          <w:szCs w:val="20"/>
        </w:rPr>
        <w:t xml:space="preserve"> multi-annuel 2021-2027.</w:t>
      </w:r>
      <w:r w:rsidR="00F04BE2">
        <w:rPr>
          <w:rFonts w:ascii="Arial" w:hAnsi="Arial" w:cs="Arial"/>
          <w:sz w:val="20"/>
          <w:szCs w:val="20"/>
        </w:rPr>
        <w:t xml:space="preserve"> Afin de répondre </w:t>
      </w:r>
      <w:r w:rsidR="00F04BE2" w:rsidRPr="00F04BE2">
        <w:rPr>
          <w:rFonts w:ascii="Arial" w:hAnsi="Arial" w:cs="Arial"/>
          <w:i/>
          <w:sz w:val="20"/>
          <w:szCs w:val="20"/>
        </w:rPr>
        <w:t>« aux défis accrus qui se posent en matière de migration et de sécurité »</w:t>
      </w:r>
      <w:r w:rsidR="00F04BE2">
        <w:rPr>
          <w:rFonts w:ascii="Arial" w:hAnsi="Arial" w:cs="Arial"/>
          <w:sz w:val="20"/>
          <w:szCs w:val="20"/>
        </w:rPr>
        <w:t xml:space="preserve">, la Commission propose des </w:t>
      </w:r>
      <w:r w:rsidR="00F04BE2" w:rsidRPr="00F04BE2">
        <w:rPr>
          <w:rFonts w:ascii="Arial" w:hAnsi="Arial" w:cs="Arial"/>
          <w:i/>
          <w:sz w:val="20"/>
          <w:szCs w:val="20"/>
        </w:rPr>
        <w:t xml:space="preserve">« instruments de financement plus flexibles pour faire face aux évènements imprévus, la protection des frontières étant au cœur du nouveau budget ». </w:t>
      </w:r>
    </w:p>
    <w:p w:rsidR="00FD011B" w:rsidRPr="00644679" w:rsidRDefault="00FD011B" w:rsidP="00FD011B">
      <w:pPr>
        <w:spacing w:after="0"/>
        <w:jc w:val="both"/>
        <w:rPr>
          <w:rFonts w:ascii="Arial" w:hAnsi="Arial" w:cs="Arial"/>
          <w:sz w:val="20"/>
          <w:szCs w:val="20"/>
        </w:rPr>
      </w:pPr>
      <w:r w:rsidRPr="00644679">
        <w:rPr>
          <w:rFonts w:ascii="Arial" w:hAnsi="Arial" w:cs="Arial"/>
          <w:sz w:val="20"/>
          <w:szCs w:val="20"/>
        </w:rPr>
        <w:t xml:space="preserve"> </w:t>
      </w:r>
      <w:r w:rsidRPr="00644679">
        <w:rPr>
          <w:noProof/>
          <w:sz w:val="20"/>
          <w:szCs w:val="20"/>
          <w:lang w:eastAsia="fr-FR"/>
        </w:rPr>
        <w:drawing>
          <wp:inline distT="0" distB="0" distL="0" distR="0" wp14:anchorId="70B4419C" wp14:editId="4E45F7BB">
            <wp:extent cx="5669280" cy="2643415"/>
            <wp:effectExtent l="0" t="0" r="762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13757" cy="2664153"/>
                    </a:xfrm>
                    <a:prstGeom prst="rect">
                      <a:avLst/>
                    </a:prstGeom>
                  </pic:spPr>
                </pic:pic>
              </a:graphicData>
            </a:graphic>
          </wp:inline>
        </w:drawing>
      </w:r>
    </w:p>
    <w:p w:rsidR="00FD011B" w:rsidRPr="00644679" w:rsidRDefault="00FD011B" w:rsidP="00FD011B">
      <w:pPr>
        <w:spacing w:after="0"/>
        <w:jc w:val="both"/>
        <w:rPr>
          <w:rFonts w:ascii="Arial" w:hAnsi="Arial" w:cs="Arial"/>
          <w:sz w:val="20"/>
          <w:szCs w:val="20"/>
        </w:rPr>
      </w:pPr>
    </w:p>
    <w:p w:rsidR="00FD011B" w:rsidRPr="00644679" w:rsidRDefault="00FD011B" w:rsidP="00FD011B">
      <w:pPr>
        <w:spacing w:after="0"/>
        <w:jc w:val="both"/>
        <w:rPr>
          <w:rFonts w:ascii="Arial" w:hAnsi="Arial" w:cs="Arial"/>
          <w:sz w:val="20"/>
          <w:szCs w:val="20"/>
        </w:rPr>
      </w:pPr>
      <w:r w:rsidRPr="00644679">
        <w:rPr>
          <w:rFonts w:ascii="Arial" w:hAnsi="Arial" w:cs="Arial"/>
          <w:sz w:val="20"/>
          <w:szCs w:val="20"/>
        </w:rPr>
        <w:t>La proposition se divise en 2 volets :</w:t>
      </w:r>
    </w:p>
    <w:p w:rsidR="00F04BE2" w:rsidRPr="00644679" w:rsidRDefault="00F04BE2" w:rsidP="00F04BE2">
      <w:pPr>
        <w:pStyle w:val="Paragraphedeliste"/>
        <w:numPr>
          <w:ilvl w:val="0"/>
          <w:numId w:val="2"/>
        </w:numPr>
        <w:spacing w:after="0"/>
        <w:jc w:val="both"/>
        <w:rPr>
          <w:rFonts w:ascii="Arial" w:hAnsi="Arial" w:cs="Arial"/>
          <w:sz w:val="20"/>
          <w:szCs w:val="20"/>
        </w:rPr>
      </w:pPr>
      <w:r w:rsidRPr="00644679">
        <w:rPr>
          <w:rFonts w:ascii="Arial" w:hAnsi="Arial" w:cs="Arial"/>
          <w:sz w:val="20"/>
          <w:szCs w:val="20"/>
        </w:rPr>
        <w:t>« sécurisation des frontières extérieures de l’UE »</w:t>
      </w:r>
      <w:r>
        <w:rPr>
          <w:rFonts w:ascii="Arial" w:hAnsi="Arial" w:cs="Arial"/>
          <w:sz w:val="20"/>
          <w:szCs w:val="20"/>
        </w:rPr>
        <w:t> ;</w:t>
      </w:r>
    </w:p>
    <w:p w:rsidR="00FD011B" w:rsidRDefault="00C903BC" w:rsidP="00F04BE2">
      <w:pPr>
        <w:pStyle w:val="Paragraphedeliste"/>
        <w:numPr>
          <w:ilvl w:val="0"/>
          <w:numId w:val="2"/>
        </w:numPr>
        <w:jc w:val="both"/>
        <w:rPr>
          <w:rFonts w:ascii="Arial" w:hAnsi="Arial" w:cs="Arial"/>
          <w:sz w:val="20"/>
          <w:szCs w:val="20"/>
        </w:rPr>
      </w:pPr>
      <w:r w:rsidRPr="00644679">
        <w:rPr>
          <w:rFonts w:ascii="Arial" w:hAnsi="Arial" w:cs="Arial"/>
          <w:sz w:val="20"/>
          <w:szCs w:val="20"/>
        </w:rPr>
        <w:t xml:space="preserve">« migrations : </w:t>
      </w:r>
      <w:r w:rsidR="00FD011B" w:rsidRPr="00644679">
        <w:rPr>
          <w:rFonts w:ascii="Arial" w:hAnsi="Arial" w:cs="Arial"/>
          <w:sz w:val="20"/>
          <w:szCs w:val="20"/>
        </w:rPr>
        <w:t>soutenir une politique solide, réaliste et équitable</w:t>
      </w:r>
      <w:r w:rsidRPr="00644679">
        <w:rPr>
          <w:rFonts w:ascii="Arial" w:hAnsi="Arial" w:cs="Arial"/>
          <w:sz w:val="20"/>
          <w:szCs w:val="20"/>
        </w:rPr>
        <w:t> »</w:t>
      </w:r>
      <w:r w:rsidR="00F04BE2">
        <w:rPr>
          <w:rFonts w:ascii="Arial" w:hAnsi="Arial" w:cs="Arial"/>
          <w:sz w:val="20"/>
          <w:szCs w:val="20"/>
        </w:rPr>
        <w:t>.</w:t>
      </w:r>
    </w:p>
    <w:p w:rsidR="00F04BE2" w:rsidRPr="00644679" w:rsidRDefault="00F04BE2" w:rsidP="00F04BE2">
      <w:pPr>
        <w:pStyle w:val="Paragraphedeliste"/>
        <w:jc w:val="both"/>
        <w:rPr>
          <w:rFonts w:ascii="Arial" w:hAnsi="Arial" w:cs="Arial"/>
          <w:sz w:val="20"/>
          <w:szCs w:val="20"/>
        </w:rPr>
      </w:pPr>
    </w:p>
    <w:p w:rsidR="00F04BE2" w:rsidRPr="00F04BE2" w:rsidRDefault="00F04BE2" w:rsidP="00F04BE2">
      <w:pPr>
        <w:pStyle w:val="Paragraphedeliste"/>
        <w:numPr>
          <w:ilvl w:val="0"/>
          <w:numId w:val="14"/>
        </w:numPr>
        <w:jc w:val="both"/>
        <w:rPr>
          <w:rFonts w:ascii="Arial" w:hAnsi="Arial" w:cs="Arial"/>
          <w:b/>
          <w:szCs w:val="20"/>
        </w:rPr>
      </w:pPr>
      <w:r w:rsidRPr="00F04BE2">
        <w:rPr>
          <w:rFonts w:ascii="Arial" w:hAnsi="Arial" w:cs="Arial"/>
          <w:b/>
          <w:szCs w:val="20"/>
        </w:rPr>
        <w:t>Sécurisation des frontières extérieures de l’UE</w:t>
      </w:r>
    </w:p>
    <w:p w:rsidR="00F04BE2" w:rsidRPr="00644679" w:rsidRDefault="00F04BE2" w:rsidP="00F04BE2">
      <w:pPr>
        <w:jc w:val="both"/>
        <w:rPr>
          <w:rFonts w:ascii="Arial" w:hAnsi="Arial" w:cs="Arial"/>
          <w:sz w:val="20"/>
          <w:szCs w:val="20"/>
        </w:rPr>
      </w:pPr>
      <w:r w:rsidRPr="00644679">
        <w:rPr>
          <w:rFonts w:ascii="Arial" w:hAnsi="Arial" w:cs="Arial"/>
          <w:sz w:val="20"/>
          <w:szCs w:val="20"/>
        </w:rPr>
        <w:t>La Commission propose d’allouer 21,3 milliards d’euros à la gestion des frontières se composant :</w:t>
      </w:r>
    </w:p>
    <w:p w:rsidR="00F04BE2" w:rsidRPr="00644679" w:rsidRDefault="00F04BE2" w:rsidP="00F04BE2">
      <w:pPr>
        <w:pStyle w:val="Paragraphedeliste"/>
        <w:numPr>
          <w:ilvl w:val="0"/>
          <w:numId w:val="2"/>
        </w:numPr>
        <w:jc w:val="both"/>
        <w:rPr>
          <w:rFonts w:ascii="Arial" w:hAnsi="Arial" w:cs="Arial"/>
          <w:sz w:val="20"/>
          <w:szCs w:val="20"/>
        </w:rPr>
      </w:pPr>
      <w:r w:rsidRPr="00644679">
        <w:rPr>
          <w:rFonts w:ascii="Arial" w:hAnsi="Arial" w:cs="Arial"/>
          <w:sz w:val="20"/>
          <w:szCs w:val="20"/>
        </w:rPr>
        <w:t>d’un nouveau fonds pour la gestion intégrée des frontières (FGIF) d’un montant de 9,3 milliards d’euros dont</w:t>
      </w:r>
      <w:r w:rsidRPr="00644679">
        <w:rPr>
          <w:rFonts w:ascii="Arial" w:hAnsi="Arial" w:cs="Arial"/>
          <w:sz w:val="20"/>
          <w:szCs w:val="20"/>
        </w:rPr>
        <w:tab/>
        <w:t>:</w:t>
      </w:r>
    </w:p>
    <w:p w:rsidR="00F04BE2" w:rsidRPr="00644679" w:rsidRDefault="00F04BE2" w:rsidP="00F04BE2">
      <w:pPr>
        <w:pStyle w:val="Paragraphedeliste"/>
        <w:numPr>
          <w:ilvl w:val="1"/>
          <w:numId w:val="2"/>
        </w:numPr>
        <w:jc w:val="both"/>
        <w:rPr>
          <w:rFonts w:ascii="Arial" w:hAnsi="Arial" w:cs="Arial"/>
          <w:sz w:val="20"/>
          <w:szCs w:val="20"/>
        </w:rPr>
      </w:pPr>
      <w:r w:rsidRPr="00644679">
        <w:rPr>
          <w:rFonts w:ascii="Arial" w:hAnsi="Arial" w:cs="Arial"/>
          <w:sz w:val="20"/>
          <w:szCs w:val="20"/>
        </w:rPr>
        <w:t>4,8 milliards pour financer les mesures prises par les Etats membres en matière de gestion des frontières et à la politique des visas. Chaque Etat membre recevra un montant de 5 millions d’euros, le reste sera distribué selon la pression et le niveau de menace aux frontières extérieures terrestres (30%), maritimes (35%), dans les aéroports (20%) et dans les bureaux consulaires (15%) ;</w:t>
      </w:r>
    </w:p>
    <w:p w:rsidR="00F04BE2" w:rsidRPr="00644679" w:rsidRDefault="00F04BE2" w:rsidP="00F04BE2">
      <w:pPr>
        <w:pStyle w:val="Paragraphedeliste"/>
        <w:numPr>
          <w:ilvl w:val="1"/>
          <w:numId w:val="2"/>
        </w:numPr>
        <w:jc w:val="both"/>
        <w:rPr>
          <w:rFonts w:ascii="Arial" w:hAnsi="Arial" w:cs="Arial"/>
          <w:sz w:val="20"/>
          <w:szCs w:val="20"/>
        </w:rPr>
      </w:pPr>
      <w:r w:rsidRPr="00644679">
        <w:rPr>
          <w:rFonts w:ascii="Arial" w:hAnsi="Arial" w:cs="Arial"/>
          <w:sz w:val="20"/>
          <w:szCs w:val="20"/>
        </w:rPr>
        <w:t>3,2 milliard d’euros pour les actions d’appui ciblé aux Etats membres et face aux besoins urgents</w:t>
      </w:r>
    </w:p>
    <w:p w:rsidR="00F04BE2" w:rsidRPr="00644679" w:rsidRDefault="00F04BE2" w:rsidP="00F04BE2">
      <w:pPr>
        <w:pStyle w:val="Paragraphedeliste"/>
        <w:numPr>
          <w:ilvl w:val="1"/>
          <w:numId w:val="2"/>
        </w:numPr>
        <w:jc w:val="both"/>
        <w:rPr>
          <w:rFonts w:ascii="Arial" w:hAnsi="Arial" w:cs="Arial"/>
          <w:sz w:val="20"/>
          <w:szCs w:val="20"/>
        </w:rPr>
      </w:pPr>
      <w:r w:rsidRPr="00644679">
        <w:rPr>
          <w:rFonts w:ascii="Arial" w:hAnsi="Arial" w:cs="Arial"/>
          <w:sz w:val="20"/>
          <w:szCs w:val="20"/>
        </w:rPr>
        <w:t xml:space="preserve">1,3 milliards pour l’acquisition, l’entretien et le remplacement des équipements douaniers modernes. </w:t>
      </w:r>
    </w:p>
    <w:p w:rsidR="00DE68E0" w:rsidRDefault="00F04BE2" w:rsidP="00F04BE2">
      <w:pPr>
        <w:pStyle w:val="Paragraphedeliste"/>
        <w:numPr>
          <w:ilvl w:val="0"/>
          <w:numId w:val="2"/>
        </w:numPr>
        <w:jc w:val="both"/>
        <w:rPr>
          <w:rFonts w:ascii="Arial" w:hAnsi="Arial" w:cs="Arial"/>
          <w:sz w:val="20"/>
          <w:szCs w:val="20"/>
        </w:rPr>
      </w:pPr>
      <w:r w:rsidRPr="00644679">
        <w:rPr>
          <w:rFonts w:ascii="Arial" w:hAnsi="Arial" w:cs="Arial"/>
          <w:sz w:val="20"/>
          <w:szCs w:val="20"/>
        </w:rPr>
        <w:t>d’une enveloppe de 12 milliards d’euros pour le renforcement des organismes chargés de la gestion des frontières pour l’Agence européenne de garde-front</w:t>
      </w:r>
      <w:r>
        <w:rPr>
          <w:rFonts w:ascii="Arial" w:hAnsi="Arial" w:cs="Arial"/>
          <w:sz w:val="20"/>
          <w:szCs w:val="20"/>
        </w:rPr>
        <w:t xml:space="preserve">ières et de garde-côte et </w:t>
      </w:r>
      <w:r w:rsidRPr="00F04BE2">
        <w:rPr>
          <w:rFonts w:ascii="Arial" w:hAnsi="Arial" w:cs="Arial"/>
          <w:sz w:val="20"/>
          <w:szCs w:val="20"/>
        </w:rPr>
        <w:t>l’Agence eu-LISA</w:t>
      </w:r>
      <w:r w:rsidR="00DE68E0">
        <w:rPr>
          <w:rFonts w:ascii="Arial" w:hAnsi="Arial" w:cs="Arial"/>
          <w:sz w:val="20"/>
          <w:szCs w:val="20"/>
        </w:rPr>
        <w:t xml:space="preserve"> (gestion des données)</w:t>
      </w:r>
      <w:r w:rsidRPr="00F04BE2">
        <w:rPr>
          <w:rFonts w:ascii="Arial" w:hAnsi="Arial" w:cs="Arial"/>
          <w:sz w:val="20"/>
          <w:szCs w:val="20"/>
        </w:rPr>
        <w:t xml:space="preserve">. </w:t>
      </w:r>
    </w:p>
    <w:p w:rsidR="00F04BE2" w:rsidRDefault="00F04BE2" w:rsidP="00DE68E0">
      <w:pPr>
        <w:pStyle w:val="Paragraphedeliste"/>
        <w:jc w:val="both"/>
        <w:rPr>
          <w:rFonts w:ascii="Arial" w:hAnsi="Arial" w:cs="Arial"/>
          <w:sz w:val="20"/>
          <w:szCs w:val="20"/>
        </w:rPr>
      </w:pPr>
      <w:r w:rsidRPr="00F04BE2">
        <w:rPr>
          <w:rFonts w:ascii="Arial" w:hAnsi="Arial" w:cs="Arial"/>
          <w:sz w:val="20"/>
          <w:szCs w:val="20"/>
        </w:rPr>
        <w:t xml:space="preserve">La Commission propose de créer un corps permanent de 10 000 garde-frontières. </w:t>
      </w:r>
    </w:p>
    <w:p w:rsidR="00DE68E0" w:rsidRPr="00562AF6" w:rsidRDefault="00562AF6" w:rsidP="00562AF6">
      <w:pPr>
        <w:jc w:val="both"/>
        <w:rPr>
          <w:rFonts w:ascii="Arial" w:hAnsi="Arial" w:cs="Arial"/>
          <w:sz w:val="20"/>
          <w:szCs w:val="20"/>
        </w:rPr>
      </w:pPr>
      <w:r>
        <w:rPr>
          <w:rFonts w:ascii="Arial" w:hAnsi="Arial" w:cs="Arial"/>
          <w:sz w:val="20"/>
          <w:szCs w:val="20"/>
        </w:rPr>
        <w:t xml:space="preserve">Le nouveau FGIF a pour objectif de conforter les efforts et apporter un soutien renforcé à la sécurisation des frontières extérieures afin de mieux soutenir les Etats membres dans leurs efforts de sécurisation des frontières extérieures, </w:t>
      </w:r>
      <w:r w:rsidR="00DE68E0">
        <w:rPr>
          <w:rFonts w:ascii="Arial" w:hAnsi="Arial" w:cs="Arial"/>
          <w:sz w:val="20"/>
          <w:szCs w:val="20"/>
        </w:rPr>
        <w:t xml:space="preserve">de </w:t>
      </w:r>
      <w:r>
        <w:rPr>
          <w:rFonts w:ascii="Arial" w:hAnsi="Arial" w:cs="Arial"/>
          <w:sz w:val="20"/>
          <w:szCs w:val="20"/>
        </w:rPr>
        <w:t xml:space="preserve">favoriser une plus grande uniformité des contrôles douaniers, </w:t>
      </w:r>
      <w:r w:rsidR="00DE68E0">
        <w:rPr>
          <w:rFonts w:ascii="Arial" w:hAnsi="Arial" w:cs="Arial"/>
          <w:sz w:val="20"/>
          <w:szCs w:val="20"/>
        </w:rPr>
        <w:t xml:space="preserve">de </w:t>
      </w:r>
      <w:r>
        <w:rPr>
          <w:rFonts w:ascii="Arial" w:hAnsi="Arial" w:cs="Arial"/>
          <w:sz w:val="20"/>
          <w:szCs w:val="20"/>
        </w:rPr>
        <w:t xml:space="preserve">garantir des systèmes informatiques à grande échelles, et l’adaptabilité de la politique commune des visas face à l’évolution des problèmes de sécurité et des défis migratoires. </w:t>
      </w:r>
    </w:p>
    <w:p w:rsidR="00FD011B" w:rsidRPr="00ED6941" w:rsidRDefault="00FD011B" w:rsidP="00562AF6">
      <w:pPr>
        <w:pStyle w:val="Paragraphedeliste"/>
        <w:numPr>
          <w:ilvl w:val="0"/>
          <w:numId w:val="14"/>
        </w:numPr>
        <w:jc w:val="both"/>
        <w:rPr>
          <w:rFonts w:ascii="Arial" w:hAnsi="Arial" w:cs="Arial"/>
          <w:b/>
          <w:szCs w:val="20"/>
        </w:rPr>
      </w:pPr>
      <w:r w:rsidRPr="00ED6941">
        <w:rPr>
          <w:rFonts w:ascii="Arial" w:hAnsi="Arial" w:cs="Arial"/>
          <w:b/>
          <w:szCs w:val="20"/>
        </w:rPr>
        <w:t>Migration et asile</w:t>
      </w:r>
    </w:p>
    <w:p w:rsidR="00FD445E" w:rsidRDefault="00FD011B" w:rsidP="00FD445E">
      <w:pPr>
        <w:jc w:val="both"/>
        <w:rPr>
          <w:rFonts w:ascii="Arial" w:hAnsi="Arial" w:cs="Arial"/>
          <w:sz w:val="20"/>
          <w:szCs w:val="20"/>
        </w:rPr>
      </w:pPr>
      <w:r w:rsidRPr="00644679">
        <w:rPr>
          <w:rFonts w:ascii="Arial" w:hAnsi="Arial" w:cs="Arial"/>
          <w:sz w:val="20"/>
          <w:szCs w:val="20"/>
        </w:rPr>
        <w:lastRenderedPageBreak/>
        <w:t>La Commission propose la mise en place d’un Fonds « Asile et migration » (FAM</w:t>
      </w:r>
      <w:r w:rsidR="00F04BE2">
        <w:rPr>
          <w:rFonts w:ascii="Arial" w:hAnsi="Arial" w:cs="Arial"/>
          <w:sz w:val="20"/>
          <w:szCs w:val="20"/>
        </w:rPr>
        <w:t>) d’un montant de 10,4 milliard</w:t>
      </w:r>
      <w:r w:rsidRPr="00644679">
        <w:rPr>
          <w:rFonts w:ascii="Arial" w:hAnsi="Arial" w:cs="Arial"/>
          <w:sz w:val="20"/>
          <w:szCs w:val="20"/>
        </w:rPr>
        <w:t xml:space="preserve"> d’euros</w:t>
      </w:r>
      <w:r w:rsidR="00C903BC" w:rsidRPr="00644679">
        <w:rPr>
          <w:rFonts w:ascii="Arial" w:hAnsi="Arial" w:cs="Arial"/>
          <w:sz w:val="20"/>
          <w:szCs w:val="20"/>
        </w:rPr>
        <w:t xml:space="preserve"> pour la période 2021-2027</w:t>
      </w:r>
      <w:r w:rsidRPr="00644679">
        <w:rPr>
          <w:rFonts w:ascii="Arial" w:hAnsi="Arial" w:cs="Arial"/>
          <w:sz w:val="20"/>
          <w:szCs w:val="20"/>
        </w:rPr>
        <w:t xml:space="preserve">. </w:t>
      </w:r>
      <w:r w:rsidR="00FD445E" w:rsidRPr="00644679">
        <w:rPr>
          <w:rFonts w:ascii="Arial" w:hAnsi="Arial" w:cs="Arial"/>
          <w:sz w:val="20"/>
          <w:szCs w:val="20"/>
        </w:rPr>
        <w:t>En plus de ce fonds, 900 millions d’euros seront consacrés à la nouvelle Agence de l’UE pour l’asile</w:t>
      </w:r>
      <w:r w:rsidR="00DE68E0">
        <w:rPr>
          <w:rFonts w:ascii="Arial" w:hAnsi="Arial" w:cs="Arial"/>
          <w:sz w:val="20"/>
          <w:szCs w:val="20"/>
        </w:rPr>
        <w:t xml:space="preserve"> (qui remplacera l’EASO)</w:t>
      </w:r>
      <w:r w:rsidR="00FD445E" w:rsidRPr="00644679">
        <w:rPr>
          <w:rFonts w:ascii="Arial" w:hAnsi="Arial" w:cs="Arial"/>
          <w:sz w:val="20"/>
          <w:szCs w:val="20"/>
        </w:rPr>
        <w:t xml:space="preserve">. </w:t>
      </w:r>
      <w:r w:rsidR="00FD445E">
        <w:rPr>
          <w:rFonts w:ascii="Arial" w:hAnsi="Arial" w:cs="Arial"/>
          <w:sz w:val="20"/>
          <w:szCs w:val="20"/>
        </w:rPr>
        <w:t xml:space="preserve">Une proposition plus détaillée sur ces fonds doit être publiée par la Commission. </w:t>
      </w:r>
    </w:p>
    <w:p w:rsidR="00FD445E" w:rsidRDefault="00FD445E" w:rsidP="00FD011B">
      <w:pPr>
        <w:spacing w:after="0"/>
        <w:jc w:val="both"/>
        <w:rPr>
          <w:rFonts w:ascii="Arial" w:hAnsi="Arial" w:cs="Arial"/>
          <w:sz w:val="20"/>
          <w:szCs w:val="20"/>
        </w:rPr>
      </w:pPr>
      <w:r>
        <w:rPr>
          <w:rFonts w:ascii="Arial" w:hAnsi="Arial" w:cs="Arial"/>
          <w:sz w:val="20"/>
          <w:szCs w:val="20"/>
        </w:rPr>
        <w:t xml:space="preserve">Le nouveau fonds </w:t>
      </w:r>
      <w:r w:rsidR="00DE68E0">
        <w:rPr>
          <w:rFonts w:ascii="Arial" w:hAnsi="Arial" w:cs="Arial"/>
          <w:sz w:val="20"/>
          <w:szCs w:val="20"/>
        </w:rPr>
        <w:t xml:space="preserve">FAM </w:t>
      </w:r>
      <w:r>
        <w:rPr>
          <w:rFonts w:ascii="Arial" w:hAnsi="Arial" w:cs="Arial"/>
          <w:sz w:val="20"/>
          <w:szCs w:val="20"/>
        </w:rPr>
        <w:t>a pour but d’augmenter le soutien octroyé à la gestion des migrations sur les priorités suivantes :</w:t>
      </w:r>
    </w:p>
    <w:p w:rsidR="00FD445E" w:rsidRDefault="00FD445E" w:rsidP="00FD445E">
      <w:pPr>
        <w:pStyle w:val="Paragraphedeliste"/>
        <w:numPr>
          <w:ilvl w:val="0"/>
          <w:numId w:val="2"/>
        </w:numPr>
        <w:spacing w:after="0"/>
        <w:jc w:val="both"/>
        <w:rPr>
          <w:rFonts w:ascii="Arial" w:hAnsi="Arial" w:cs="Arial"/>
          <w:sz w:val="20"/>
          <w:szCs w:val="20"/>
        </w:rPr>
      </w:pPr>
      <w:r>
        <w:rPr>
          <w:rFonts w:ascii="Arial" w:hAnsi="Arial" w:cs="Arial"/>
          <w:sz w:val="20"/>
          <w:szCs w:val="20"/>
        </w:rPr>
        <w:t>Offrir davantage de soutien aux Etats membres soumis aux pressions migratoires les plus fortes ;</w:t>
      </w:r>
    </w:p>
    <w:p w:rsidR="00FD445E" w:rsidRDefault="00FD445E" w:rsidP="00FD445E">
      <w:pPr>
        <w:pStyle w:val="Paragraphedeliste"/>
        <w:numPr>
          <w:ilvl w:val="0"/>
          <w:numId w:val="2"/>
        </w:numPr>
        <w:spacing w:after="0"/>
        <w:jc w:val="both"/>
        <w:rPr>
          <w:rFonts w:ascii="Arial" w:hAnsi="Arial" w:cs="Arial"/>
          <w:sz w:val="20"/>
          <w:szCs w:val="20"/>
        </w:rPr>
      </w:pPr>
      <w:r>
        <w:rPr>
          <w:rFonts w:ascii="Arial" w:hAnsi="Arial" w:cs="Arial"/>
          <w:sz w:val="20"/>
          <w:szCs w:val="20"/>
        </w:rPr>
        <w:t>Soutenir davantage la migration légale et l’intégration rapide des ressortissants de pays tiers en séjour régulier ;</w:t>
      </w:r>
    </w:p>
    <w:p w:rsidR="00FD445E" w:rsidRDefault="00FD445E" w:rsidP="00FD445E">
      <w:pPr>
        <w:pStyle w:val="Paragraphedeliste"/>
        <w:numPr>
          <w:ilvl w:val="0"/>
          <w:numId w:val="2"/>
        </w:numPr>
        <w:spacing w:after="0"/>
        <w:jc w:val="both"/>
        <w:rPr>
          <w:rFonts w:ascii="Arial" w:hAnsi="Arial" w:cs="Arial"/>
          <w:sz w:val="20"/>
          <w:szCs w:val="20"/>
        </w:rPr>
      </w:pPr>
      <w:r>
        <w:rPr>
          <w:rFonts w:ascii="Arial" w:hAnsi="Arial" w:cs="Arial"/>
          <w:sz w:val="20"/>
          <w:szCs w:val="20"/>
        </w:rPr>
        <w:t>Lutter contre l’immigration irrégulière (augmentation du nombre de retours effectifs et renforcement de la coopération en matière de réadmission) ;</w:t>
      </w:r>
    </w:p>
    <w:p w:rsidR="00FD445E" w:rsidRPr="00FD445E" w:rsidRDefault="00FD445E" w:rsidP="00FD445E">
      <w:pPr>
        <w:pStyle w:val="Paragraphedeliste"/>
        <w:numPr>
          <w:ilvl w:val="0"/>
          <w:numId w:val="2"/>
        </w:numPr>
        <w:spacing w:after="0"/>
        <w:jc w:val="both"/>
        <w:rPr>
          <w:rFonts w:ascii="Arial" w:hAnsi="Arial" w:cs="Arial"/>
          <w:sz w:val="20"/>
          <w:szCs w:val="20"/>
        </w:rPr>
      </w:pPr>
      <w:r>
        <w:rPr>
          <w:rFonts w:ascii="Arial" w:hAnsi="Arial" w:cs="Arial"/>
          <w:sz w:val="20"/>
          <w:szCs w:val="20"/>
        </w:rPr>
        <w:t xml:space="preserve">Equiper l’Union de moyens plus rapides et plus souples pour faire face aux crises. </w:t>
      </w:r>
    </w:p>
    <w:p w:rsidR="00FD445E" w:rsidRDefault="00FD445E" w:rsidP="00FD011B">
      <w:pPr>
        <w:spacing w:after="0"/>
        <w:jc w:val="both"/>
        <w:rPr>
          <w:rFonts w:ascii="Arial" w:hAnsi="Arial" w:cs="Arial"/>
          <w:sz w:val="20"/>
          <w:szCs w:val="20"/>
        </w:rPr>
      </w:pPr>
    </w:p>
    <w:p w:rsidR="00E71478" w:rsidRPr="00644679" w:rsidRDefault="00E71478" w:rsidP="00E71478">
      <w:pPr>
        <w:jc w:val="both"/>
        <w:rPr>
          <w:rFonts w:ascii="Arial" w:hAnsi="Arial" w:cs="Arial"/>
          <w:sz w:val="20"/>
          <w:szCs w:val="20"/>
        </w:rPr>
      </w:pPr>
      <w:r w:rsidRPr="00644679">
        <w:rPr>
          <w:rFonts w:ascii="Arial" w:hAnsi="Arial" w:cs="Arial"/>
          <w:sz w:val="20"/>
          <w:szCs w:val="20"/>
        </w:rPr>
        <w:t xml:space="preserve">40% sont alloués au mécanisme thématique qui fournira périodiquement des fonds pour des priorités définies par la Commission, soit 4,2 milliards d’euros. Ces fonds sont consacrés à des priorités à forte valeur ajoutée pour l’UE (telle que la réinstallation, le réseau européen des migrations) ou pour répondre à des besoins urgents. </w:t>
      </w:r>
    </w:p>
    <w:p w:rsidR="00E31001" w:rsidRPr="00644679" w:rsidRDefault="00C903BC" w:rsidP="00FD011B">
      <w:pPr>
        <w:jc w:val="both"/>
        <w:rPr>
          <w:rFonts w:ascii="Arial" w:hAnsi="Arial" w:cs="Arial"/>
          <w:sz w:val="20"/>
          <w:szCs w:val="20"/>
        </w:rPr>
      </w:pPr>
      <w:r w:rsidRPr="00644679">
        <w:rPr>
          <w:rFonts w:ascii="Arial" w:hAnsi="Arial" w:cs="Arial"/>
          <w:sz w:val="20"/>
          <w:szCs w:val="20"/>
        </w:rPr>
        <w:t>60% des fonds sont alloués aux programmes des Etats membres exécutés en gestion partagée</w:t>
      </w:r>
      <w:r w:rsidR="00E71478" w:rsidRPr="00644679">
        <w:rPr>
          <w:rFonts w:ascii="Arial" w:hAnsi="Arial" w:cs="Arial"/>
          <w:sz w:val="20"/>
          <w:szCs w:val="20"/>
        </w:rPr>
        <w:t xml:space="preserve"> soit environ 6,3 milliards d’euros.</w:t>
      </w:r>
      <w:r w:rsidR="000D1AF0" w:rsidRPr="00644679">
        <w:rPr>
          <w:rFonts w:ascii="Arial" w:hAnsi="Arial" w:cs="Arial"/>
          <w:sz w:val="20"/>
          <w:szCs w:val="20"/>
        </w:rPr>
        <w:t xml:space="preserve"> Sur les 6,3 milliards, 5,2 milliards sont accordés aux Etats membres et 1,1 milliards sont accordés à mi-parcours pour tenir compte des nouvelles pressions. </w:t>
      </w:r>
    </w:p>
    <w:p w:rsidR="00C903BC" w:rsidRDefault="000D1AF0" w:rsidP="00E71478">
      <w:pPr>
        <w:jc w:val="both"/>
        <w:rPr>
          <w:rFonts w:ascii="Arial" w:hAnsi="Arial" w:cs="Arial"/>
          <w:sz w:val="20"/>
          <w:szCs w:val="20"/>
        </w:rPr>
      </w:pPr>
      <w:r w:rsidRPr="00644679">
        <w:rPr>
          <w:rFonts w:ascii="Arial" w:hAnsi="Arial" w:cs="Arial"/>
          <w:sz w:val="20"/>
          <w:szCs w:val="20"/>
        </w:rPr>
        <w:t>C</w:t>
      </w:r>
      <w:r w:rsidR="00E31001" w:rsidRPr="00644679">
        <w:rPr>
          <w:rFonts w:ascii="Arial" w:hAnsi="Arial" w:cs="Arial"/>
          <w:sz w:val="20"/>
          <w:szCs w:val="20"/>
        </w:rPr>
        <w:t xml:space="preserve">haque Etat membre reçoit un montant fixe de 5 </w:t>
      </w:r>
      <w:r w:rsidR="004640CC" w:rsidRPr="00644679">
        <w:rPr>
          <w:rFonts w:ascii="Arial" w:hAnsi="Arial" w:cs="Arial"/>
          <w:sz w:val="20"/>
          <w:szCs w:val="20"/>
        </w:rPr>
        <w:t>millions</w:t>
      </w:r>
      <w:r w:rsidRPr="00644679">
        <w:rPr>
          <w:rFonts w:ascii="Arial" w:hAnsi="Arial" w:cs="Arial"/>
          <w:sz w:val="20"/>
          <w:szCs w:val="20"/>
        </w:rPr>
        <w:t xml:space="preserve"> d’euros en début de programme et le solde sera réparti </w:t>
      </w:r>
      <w:r w:rsidR="00E31001" w:rsidRPr="00644679">
        <w:rPr>
          <w:rFonts w:ascii="Arial" w:hAnsi="Arial" w:cs="Arial"/>
          <w:sz w:val="20"/>
          <w:szCs w:val="20"/>
        </w:rPr>
        <w:t>sur la base d’une clé de répartition qui doit prendre en compte les pressions plus ou moins fortes pesant sur un Etat en matière d’asile (30%), de migration légal</w:t>
      </w:r>
      <w:r w:rsidRPr="00644679">
        <w:rPr>
          <w:rFonts w:ascii="Arial" w:hAnsi="Arial" w:cs="Arial"/>
          <w:sz w:val="20"/>
          <w:szCs w:val="20"/>
        </w:rPr>
        <w:t>e</w:t>
      </w:r>
      <w:r w:rsidR="00E31001" w:rsidRPr="00644679">
        <w:rPr>
          <w:rFonts w:ascii="Arial" w:hAnsi="Arial" w:cs="Arial"/>
          <w:sz w:val="20"/>
          <w:szCs w:val="20"/>
        </w:rPr>
        <w:t xml:space="preserve"> et d’intégration (30%), et de lutte contre la migration irrégulière et de retour (40%). </w:t>
      </w:r>
      <w:r w:rsidR="00FD445E">
        <w:rPr>
          <w:rFonts w:ascii="Arial" w:hAnsi="Arial" w:cs="Arial"/>
          <w:sz w:val="20"/>
          <w:szCs w:val="20"/>
        </w:rPr>
        <w:t xml:space="preserve">Les calculs seront basés sur les données statistiques d’Eurostat des trois dernières années civiles avant l’entrée en application du nouveau budget. </w:t>
      </w:r>
      <w:r w:rsidR="00E31001" w:rsidRPr="00644679">
        <w:rPr>
          <w:rFonts w:ascii="Arial" w:hAnsi="Arial" w:cs="Arial"/>
          <w:sz w:val="20"/>
          <w:szCs w:val="20"/>
        </w:rPr>
        <w:t xml:space="preserve">  </w:t>
      </w:r>
    </w:p>
    <w:p w:rsidR="0002563D" w:rsidRPr="00644679" w:rsidRDefault="0002563D" w:rsidP="00E71478">
      <w:pPr>
        <w:jc w:val="both"/>
        <w:rPr>
          <w:rFonts w:ascii="Arial" w:hAnsi="Arial" w:cs="Arial"/>
          <w:sz w:val="20"/>
          <w:szCs w:val="20"/>
        </w:rPr>
      </w:pPr>
      <w:r>
        <w:rPr>
          <w:rFonts w:ascii="Arial" w:hAnsi="Arial" w:cs="Arial"/>
          <w:sz w:val="20"/>
          <w:szCs w:val="20"/>
        </w:rPr>
        <w:t>Un point d’inquiétude relevé par ECRE est l’absence de critères d’allocation pour les différents objectifs dans le cadre des programmes nationaux, qui pourrait amener les Etats à dépenser plus sur les politiques de retour qu’aux problématiques d’asile et d’intégration. Cette priorisation du retour est également relevé</w:t>
      </w:r>
      <w:r w:rsidR="00DE68E0">
        <w:rPr>
          <w:rFonts w:ascii="Arial" w:hAnsi="Arial" w:cs="Arial"/>
          <w:sz w:val="20"/>
          <w:szCs w:val="20"/>
        </w:rPr>
        <w:t>e</w:t>
      </w:r>
      <w:r>
        <w:rPr>
          <w:rFonts w:ascii="Arial" w:hAnsi="Arial" w:cs="Arial"/>
          <w:sz w:val="20"/>
          <w:szCs w:val="20"/>
        </w:rPr>
        <w:t xml:space="preserve"> dans la clé de répartition des fonds où la lutte contre la migration irrégulière représente un pourcentage plus important dans le calcul. ECRE a demandé la mise en place de critères minimum d’allocation et de dépenses de 30% pour l’intégration et de 20% pour l’asile. </w:t>
      </w:r>
    </w:p>
    <w:p w:rsidR="00FD445E" w:rsidRPr="00FD445E" w:rsidRDefault="00FD445E" w:rsidP="004660CC">
      <w:pPr>
        <w:ind w:firstLine="708"/>
        <w:jc w:val="both"/>
        <w:rPr>
          <w:rFonts w:ascii="Arial" w:hAnsi="Arial" w:cs="Arial"/>
          <w:i/>
          <w:sz w:val="20"/>
          <w:szCs w:val="20"/>
          <w:u w:val="single"/>
        </w:rPr>
      </w:pPr>
      <w:r w:rsidRPr="00FD445E">
        <w:rPr>
          <w:rFonts w:ascii="Arial" w:hAnsi="Arial" w:cs="Arial"/>
          <w:i/>
          <w:sz w:val="20"/>
          <w:szCs w:val="20"/>
          <w:u w:val="single"/>
        </w:rPr>
        <w:t>Qu’en est-il de l’intégration ?</w:t>
      </w:r>
    </w:p>
    <w:p w:rsidR="00FD445E" w:rsidRDefault="00FD445E" w:rsidP="00FD011B">
      <w:pPr>
        <w:jc w:val="both"/>
        <w:rPr>
          <w:rFonts w:ascii="Arial" w:hAnsi="Arial" w:cs="Arial"/>
          <w:sz w:val="20"/>
          <w:szCs w:val="20"/>
        </w:rPr>
      </w:pPr>
      <w:r>
        <w:rPr>
          <w:rFonts w:ascii="Arial" w:hAnsi="Arial" w:cs="Arial"/>
          <w:sz w:val="20"/>
          <w:szCs w:val="20"/>
        </w:rPr>
        <w:t xml:space="preserve">La Commission propose de </w:t>
      </w:r>
      <w:r w:rsidRPr="00FD445E">
        <w:rPr>
          <w:rFonts w:ascii="Arial" w:hAnsi="Arial" w:cs="Arial"/>
          <w:i/>
          <w:sz w:val="20"/>
          <w:szCs w:val="20"/>
        </w:rPr>
        <w:t>« donner un nouvel élan au soutien aux politiques d’intégration […] en associant la force de frappe de plusieurs instruments de financement »</w:t>
      </w:r>
      <w:r>
        <w:rPr>
          <w:rFonts w:ascii="Arial" w:hAnsi="Arial" w:cs="Arial"/>
          <w:sz w:val="20"/>
          <w:szCs w:val="20"/>
        </w:rPr>
        <w:t xml:space="preserve">. Le Fonds « Asile et Migration » se concentrera sur les </w:t>
      </w:r>
      <w:r w:rsidRPr="004660CC">
        <w:rPr>
          <w:rFonts w:ascii="Arial" w:hAnsi="Arial" w:cs="Arial"/>
          <w:sz w:val="20"/>
          <w:szCs w:val="20"/>
          <w:u w:val="single"/>
        </w:rPr>
        <w:t>mesures d’intégration rapide</w:t>
      </w:r>
      <w:r>
        <w:rPr>
          <w:rFonts w:ascii="Arial" w:hAnsi="Arial" w:cs="Arial"/>
          <w:sz w:val="20"/>
          <w:szCs w:val="20"/>
        </w:rPr>
        <w:t xml:space="preserve"> et aura pour objectif d’apporter une aide lors des premières étapes clés de l’intégration comme les cours de langue, tout en soutenant le renforcement des capacités des autorités chargée</w:t>
      </w:r>
      <w:r w:rsidR="00DE68E0">
        <w:rPr>
          <w:rFonts w:ascii="Arial" w:hAnsi="Arial" w:cs="Arial"/>
          <w:sz w:val="20"/>
          <w:szCs w:val="20"/>
        </w:rPr>
        <w:t>s</w:t>
      </w:r>
      <w:r>
        <w:rPr>
          <w:rFonts w:ascii="Arial" w:hAnsi="Arial" w:cs="Arial"/>
          <w:sz w:val="20"/>
          <w:szCs w:val="20"/>
        </w:rPr>
        <w:t xml:space="preserve"> de la politique d’intégration, les guichets uniques d’information</w:t>
      </w:r>
      <w:r w:rsidR="00DE68E0">
        <w:rPr>
          <w:rFonts w:ascii="Arial" w:hAnsi="Arial" w:cs="Arial"/>
          <w:sz w:val="20"/>
          <w:szCs w:val="20"/>
        </w:rPr>
        <w:t>s</w:t>
      </w:r>
      <w:r>
        <w:rPr>
          <w:rFonts w:ascii="Arial" w:hAnsi="Arial" w:cs="Arial"/>
          <w:sz w:val="20"/>
          <w:szCs w:val="20"/>
        </w:rPr>
        <w:t xml:space="preserve"> pour les migrants en séjour régulier récemment arrivés et les échanges entre les migrants en séjour régulier récemment</w:t>
      </w:r>
      <w:r w:rsidR="00DE68E0">
        <w:rPr>
          <w:rFonts w:ascii="Arial" w:hAnsi="Arial" w:cs="Arial"/>
          <w:sz w:val="20"/>
          <w:szCs w:val="20"/>
        </w:rPr>
        <w:t xml:space="preserve"> arrivés</w:t>
      </w:r>
      <w:r>
        <w:rPr>
          <w:rFonts w:ascii="Arial" w:hAnsi="Arial" w:cs="Arial"/>
          <w:sz w:val="20"/>
          <w:szCs w:val="20"/>
        </w:rPr>
        <w:t xml:space="preserve"> et les membres de la communauté d’accueil. </w:t>
      </w:r>
    </w:p>
    <w:p w:rsidR="004660CC" w:rsidRDefault="00146D76" w:rsidP="00FD011B">
      <w:pPr>
        <w:jc w:val="both"/>
        <w:rPr>
          <w:rFonts w:ascii="Arial" w:hAnsi="Arial" w:cs="Arial"/>
          <w:sz w:val="20"/>
          <w:szCs w:val="20"/>
        </w:rPr>
      </w:pPr>
      <w:r>
        <w:rPr>
          <w:rFonts w:ascii="Arial" w:hAnsi="Arial" w:cs="Arial"/>
          <w:sz w:val="20"/>
          <w:szCs w:val="20"/>
          <w:u w:val="single"/>
        </w:rPr>
        <w:t>L</w:t>
      </w:r>
      <w:r w:rsidR="00364DA4" w:rsidRPr="004660CC">
        <w:rPr>
          <w:rFonts w:ascii="Arial" w:hAnsi="Arial" w:cs="Arial"/>
          <w:sz w:val="20"/>
          <w:szCs w:val="20"/>
          <w:u w:val="single"/>
        </w:rPr>
        <w:t xml:space="preserve">’intégration </w:t>
      </w:r>
      <w:r w:rsidR="004660CC" w:rsidRPr="004660CC">
        <w:rPr>
          <w:rFonts w:ascii="Arial" w:hAnsi="Arial" w:cs="Arial"/>
          <w:sz w:val="20"/>
          <w:szCs w:val="20"/>
          <w:u w:val="single"/>
        </w:rPr>
        <w:t>à long terme</w:t>
      </w:r>
      <w:r w:rsidR="004660CC">
        <w:rPr>
          <w:rFonts w:ascii="Arial" w:hAnsi="Arial" w:cs="Arial"/>
          <w:sz w:val="20"/>
          <w:szCs w:val="20"/>
        </w:rPr>
        <w:t xml:space="preserve"> bénéficiera d</w:t>
      </w:r>
      <w:r w:rsidR="00DE68E0">
        <w:rPr>
          <w:rFonts w:ascii="Arial" w:hAnsi="Arial" w:cs="Arial"/>
          <w:sz w:val="20"/>
          <w:szCs w:val="20"/>
        </w:rPr>
        <w:t>’</w:t>
      </w:r>
      <w:r w:rsidR="004660CC">
        <w:rPr>
          <w:rFonts w:ascii="Arial" w:hAnsi="Arial" w:cs="Arial"/>
          <w:sz w:val="20"/>
          <w:szCs w:val="20"/>
        </w:rPr>
        <w:t>u</w:t>
      </w:r>
      <w:r w:rsidR="00DE68E0">
        <w:rPr>
          <w:rFonts w:ascii="Arial" w:hAnsi="Arial" w:cs="Arial"/>
          <w:sz w:val="20"/>
          <w:szCs w:val="20"/>
        </w:rPr>
        <w:t>n</w:t>
      </w:r>
      <w:r w:rsidR="004660CC">
        <w:rPr>
          <w:rFonts w:ascii="Arial" w:hAnsi="Arial" w:cs="Arial"/>
          <w:sz w:val="20"/>
          <w:szCs w:val="20"/>
        </w:rPr>
        <w:t xml:space="preserve"> soutien au titre </w:t>
      </w:r>
      <w:r w:rsidR="00DE68E0">
        <w:rPr>
          <w:rFonts w:ascii="Arial" w:hAnsi="Arial" w:cs="Arial"/>
          <w:sz w:val="20"/>
          <w:szCs w:val="20"/>
        </w:rPr>
        <w:t>de la politique</w:t>
      </w:r>
      <w:r w:rsidR="004660CC">
        <w:rPr>
          <w:rFonts w:ascii="Arial" w:hAnsi="Arial" w:cs="Arial"/>
          <w:sz w:val="20"/>
          <w:szCs w:val="20"/>
        </w:rPr>
        <w:t xml:space="preserve"> de cohésion de l’UE, et en particulier du Fonds Social Européen+ (FSE+) et le Fonds Européen de Développement Régional (</w:t>
      </w:r>
      <w:r w:rsidR="00FE3914">
        <w:rPr>
          <w:rFonts w:ascii="Arial" w:hAnsi="Arial" w:cs="Arial"/>
          <w:sz w:val="20"/>
          <w:szCs w:val="20"/>
        </w:rPr>
        <w:t>FEDR</w:t>
      </w:r>
      <w:r w:rsidR="004660CC">
        <w:rPr>
          <w:rFonts w:ascii="Arial" w:hAnsi="Arial" w:cs="Arial"/>
          <w:sz w:val="20"/>
          <w:szCs w:val="20"/>
        </w:rPr>
        <w:t xml:space="preserve">). </w:t>
      </w:r>
      <w:r w:rsidR="008D55B9" w:rsidRPr="00644679">
        <w:rPr>
          <w:rFonts w:ascii="Arial" w:hAnsi="Arial" w:cs="Arial"/>
          <w:sz w:val="20"/>
          <w:szCs w:val="20"/>
        </w:rPr>
        <w:t xml:space="preserve">Ces fonds financeront </w:t>
      </w:r>
      <w:r w:rsidR="004660CC">
        <w:rPr>
          <w:rFonts w:ascii="Arial" w:hAnsi="Arial" w:cs="Arial"/>
          <w:sz w:val="20"/>
          <w:szCs w:val="20"/>
        </w:rPr>
        <w:t xml:space="preserve">des mesures d’appui structurel comme la formation professionnelle, </w:t>
      </w:r>
      <w:r w:rsidR="008D55B9" w:rsidRPr="00644679">
        <w:rPr>
          <w:rFonts w:ascii="Arial" w:hAnsi="Arial" w:cs="Arial"/>
          <w:sz w:val="20"/>
          <w:szCs w:val="20"/>
        </w:rPr>
        <w:t>l’intégration sur le marché du travail</w:t>
      </w:r>
      <w:r w:rsidR="004660CC">
        <w:rPr>
          <w:rFonts w:ascii="Arial" w:hAnsi="Arial" w:cs="Arial"/>
          <w:sz w:val="20"/>
          <w:szCs w:val="20"/>
        </w:rPr>
        <w:t>, l’éducation, le logement</w:t>
      </w:r>
      <w:r w:rsidR="008D55B9" w:rsidRPr="00644679">
        <w:rPr>
          <w:rFonts w:ascii="Arial" w:hAnsi="Arial" w:cs="Arial"/>
          <w:sz w:val="20"/>
          <w:szCs w:val="20"/>
        </w:rPr>
        <w:t xml:space="preserve"> et le soutien à l’inclusion sociale. </w:t>
      </w:r>
    </w:p>
    <w:p w:rsidR="00A944FD" w:rsidRDefault="008D55B9" w:rsidP="00FD011B">
      <w:pPr>
        <w:jc w:val="both"/>
        <w:rPr>
          <w:rFonts w:ascii="Arial" w:hAnsi="Arial" w:cs="Arial"/>
          <w:sz w:val="20"/>
          <w:szCs w:val="20"/>
        </w:rPr>
      </w:pPr>
      <w:r w:rsidRPr="00644679">
        <w:rPr>
          <w:rFonts w:ascii="Arial" w:hAnsi="Arial" w:cs="Arial"/>
          <w:sz w:val="20"/>
          <w:szCs w:val="20"/>
        </w:rPr>
        <w:t>Le Fonds européen agricole pour le développement rural (FEADER) et Erasmus+ renforce</w:t>
      </w:r>
      <w:r w:rsidR="004660CC">
        <w:rPr>
          <w:rFonts w:ascii="Arial" w:hAnsi="Arial" w:cs="Arial"/>
          <w:sz w:val="20"/>
          <w:szCs w:val="20"/>
        </w:rPr>
        <w:t>ront aussi</w:t>
      </w:r>
      <w:r w:rsidRPr="00644679">
        <w:rPr>
          <w:rFonts w:ascii="Arial" w:hAnsi="Arial" w:cs="Arial"/>
          <w:sz w:val="20"/>
          <w:szCs w:val="20"/>
        </w:rPr>
        <w:t xml:space="preserve"> des dispositions relatives au migrants et aux réfugiés. </w:t>
      </w:r>
    </w:p>
    <w:p w:rsidR="004660CC" w:rsidRPr="004660CC" w:rsidRDefault="004660CC" w:rsidP="004660CC">
      <w:pPr>
        <w:ind w:firstLine="708"/>
        <w:jc w:val="both"/>
        <w:rPr>
          <w:rFonts w:ascii="Arial" w:hAnsi="Arial" w:cs="Arial"/>
          <w:i/>
          <w:sz w:val="20"/>
          <w:szCs w:val="20"/>
          <w:u w:val="single"/>
        </w:rPr>
      </w:pPr>
      <w:r w:rsidRPr="004660CC">
        <w:rPr>
          <w:rFonts w:ascii="Arial" w:hAnsi="Arial" w:cs="Arial"/>
          <w:i/>
          <w:sz w:val="20"/>
          <w:szCs w:val="20"/>
          <w:u w:val="single"/>
        </w:rPr>
        <w:t>Mesures sur le nouveau système de Dublin</w:t>
      </w:r>
      <w:bookmarkStart w:id="0" w:name="_GoBack"/>
      <w:bookmarkEnd w:id="0"/>
    </w:p>
    <w:p w:rsidR="004660CC" w:rsidRPr="004660CC" w:rsidRDefault="00DE68E0" w:rsidP="004660CC">
      <w:pPr>
        <w:jc w:val="both"/>
        <w:rPr>
          <w:rFonts w:ascii="Arial" w:hAnsi="Arial" w:cs="Arial"/>
          <w:sz w:val="20"/>
          <w:szCs w:val="20"/>
        </w:rPr>
      </w:pPr>
      <w:r>
        <w:rPr>
          <w:rFonts w:ascii="Arial" w:hAnsi="Arial" w:cs="Arial"/>
          <w:sz w:val="20"/>
          <w:szCs w:val="20"/>
        </w:rPr>
        <w:lastRenderedPageBreak/>
        <w:t>La proposition relative au FAM</w:t>
      </w:r>
      <w:r w:rsidR="004660CC" w:rsidRPr="004660CC">
        <w:rPr>
          <w:rFonts w:ascii="Arial" w:hAnsi="Arial" w:cs="Arial"/>
          <w:sz w:val="20"/>
          <w:szCs w:val="20"/>
        </w:rPr>
        <w:t xml:space="preserve"> prévoit d'ores et déjà un soutien au transfert des demandeurs d'asile en application du règlement de Dublin tel qu'il est proposé de le réformer. Les financements couvriraient les mesures de premier accueil et d'assistance de base, l'aide à l'intégration si le demandeur reçoit un statut de protection et l'aide aux personnes qui devraient faire l'objet d'une mesure de retour au cas où elles n'obtiendraient pas de protection ou de droit de séjour.</w:t>
      </w:r>
    </w:p>
    <w:p w:rsidR="004660CC" w:rsidRDefault="004660CC" w:rsidP="004660CC">
      <w:pPr>
        <w:jc w:val="both"/>
        <w:rPr>
          <w:rFonts w:ascii="Arial" w:hAnsi="Arial" w:cs="Arial"/>
          <w:sz w:val="20"/>
          <w:szCs w:val="20"/>
        </w:rPr>
      </w:pPr>
      <w:r w:rsidRPr="004660CC">
        <w:rPr>
          <w:rFonts w:ascii="Arial" w:hAnsi="Arial" w:cs="Arial"/>
          <w:sz w:val="20"/>
          <w:szCs w:val="20"/>
        </w:rPr>
        <w:t>La proposition reflète le règlement de Dublin en l'état actuel des négociations, mais elle sera adaptée en fonction du résultat final de ces négociations.</w:t>
      </w:r>
    </w:p>
    <w:p w:rsidR="0002563D" w:rsidRPr="0002563D" w:rsidRDefault="0002563D" w:rsidP="0002563D">
      <w:pPr>
        <w:ind w:firstLine="708"/>
        <w:jc w:val="both"/>
        <w:rPr>
          <w:rFonts w:ascii="Arial" w:hAnsi="Arial" w:cs="Arial"/>
          <w:i/>
          <w:sz w:val="20"/>
          <w:szCs w:val="20"/>
          <w:u w:val="single"/>
        </w:rPr>
      </w:pPr>
      <w:r w:rsidRPr="0002563D">
        <w:rPr>
          <w:rFonts w:ascii="Arial" w:hAnsi="Arial" w:cs="Arial"/>
          <w:i/>
          <w:sz w:val="20"/>
          <w:szCs w:val="20"/>
          <w:u w:val="single"/>
        </w:rPr>
        <w:t>Qu’en est-il de la réinstallation ?</w:t>
      </w:r>
    </w:p>
    <w:p w:rsidR="0002563D" w:rsidRDefault="00B77250" w:rsidP="004660CC">
      <w:pPr>
        <w:jc w:val="both"/>
        <w:rPr>
          <w:rFonts w:ascii="Arial" w:hAnsi="Arial" w:cs="Arial"/>
          <w:sz w:val="20"/>
          <w:szCs w:val="20"/>
        </w:rPr>
      </w:pPr>
      <w:r>
        <w:rPr>
          <w:rFonts w:ascii="Arial" w:hAnsi="Arial" w:cs="Arial"/>
          <w:sz w:val="20"/>
          <w:szCs w:val="20"/>
        </w:rPr>
        <w:t>En complément de l’allocation prévue dans le mécanisme thématique, les Etats membres recevront 10 000€ par réfugié réinstallation dans le cadre du règlement européen sur la réinstallation.</w:t>
      </w:r>
    </w:p>
    <w:p w:rsidR="00B77250" w:rsidRPr="004660CC" w:rsidRDefault="00B77250" w:rsidP="004660CC">
      <w:pPr>
        <w:jc w:val="both"/>
        <w:rPr>
          <w:rFonts w:ascii="Arial" w:hAnsi="Arial" w:cs="Arial"/>
          <w:sz w:val="20"/>
          <w:szCs w:val="20"/>
        </w:rPr>
      </w:pPr>
      <w:r>
        <w:rPr>
          <w:rFonts w:ascii="Arial" w:hAnsi="Arial" w:cs="Arial"/>
          <w:sz w:val="20"/>
          <w:szCs w:val="20"/>
        </w:rPr>
        <w:t>De plus, il est noté dans la proposition du fonds que la réinstallation est un moyen d’atténuer le poids de l’accueil pour les pays tiers</w:t>
      </w:r>
      <w:r w:rsidR="00DE68E0">
        <w:rPr>
          <w:rFonts w:ascii="Arial" w:hAnsi="Arial" w:cs="Arial"/>
          <w:sz w:val="20"/>
          <w:szCs w:val="20"/>
        </w:rPr>
        <w:t>,</w:t>
      </w:r>
      <w:r>
        <w:rPr>
          <w:rFonts w:ascii="Arial" w:hAnsi="Arial" w:cs="Arial"/>
          <w:sz w:val="20"/>
          <w:szCs w:val="20"/>
        </w:rPr>
        <w:t xml:space="preserve"> et d’atteindre les objectifs de politiques migratoires de l’UE, remettant en cause les objectifs de protection de la réinstallation. </w:t>
      </w:r>
    </w:p>
    <w:p w:rsidR="004660CC" w:rsidRDefault="004660CC" w:rsidP="004660CC">
      <w:pPr>
        <w:ind w:firstLine="708"/>
        <w:jc w:val="both"/>
        <w:rPr>
          <w:rFonts w:ascii="Arial" w:hAnsi="Arial" w:cs="Arial"/>
          <w:i/>
          <w:sz w:val="20"/>
          <w:szCs w:val="20"/>
          <w:u w:val="single"/>
        </w:rPr>
      </w:pPr>
      <w:r w:rsidRPr="004660CC">
        <w:rPr>
          <w:rFonts w:ascii="Arial" w:hAnsi="Arial" w:cs="Arial"/>
          <w:i/>
          <w:sz w:val="20"/>
          <w:szCs w:val="20"/>
          <w:u w:val="single"/>
        </w:rPr>
        <w:t>Le suivi des fonds alloués à la gestion des frontières et des migrations</w:t>
      </w:r>
    </w:p>
    <w:p w:rsidR="004660CC" w:rsidRPr="004660CC" w:rsidRDefault="004660CC" w:rsidP="004660CC">
      <w:pPr>
        <w:jc w:val="both"/>
        <w:rPr>
          <w:rFonts w:ascii="Arial" w:hAnsi="Arial" w:cs="Arial"/>
          <w:sz w:val="20"/>
          <w:szCs w:val="20"/>
        </w:rPr>
      </w:pPr>
      <w:r w:rsidRPr="004660CC">
        <w:rPr>
          <w:rFonts w:ascii="Arial" w:hAnsi="Arial" w:cs="Arial"/>
          <w:sz w:val="20"/>
          <w:szCs w:val="20"/>
        </w:rPr>
        <w:t>Pour les fonds dont la gestion est partagée entre l'UE et les États membres, la responsabilité première d'assurer le suivi des projets financés par l'UE incombera à ces derniers. Les autorités administrant les fonds de l'UE dans les États membres doivent mettre en place des systèmes de gestion et de contrôle satisfaisant aux exigences de l'UE, y compris en matière de suivi. Le suivi des actions faisant l'objet d'une gestion partagée sera assuré par chaque État membre, dans le cadre d'un système de gestion et de contrôle conforme au droit de l'UE.</w:t>
      </w:r>
    </w:p>
    <w:p w:rsidR="004660CC" w:rsidRDefault="004660CC" w:rsidP="004660CC">
      <w:pPr>
        <w:jc w:val="both"/>
        <w:rPr>
          <w:rFonts w:ascii="Arial" w:hAnsi="Arial" w:cs="Arial"/>
          <w:sz w:val="20"/>
          <w:szCs w:val="20"/>
        </w:rPr>
      </w:pPr>
      <w:r w:rsidRPr="004660CC">
        <w:rPr>
          <w:rFonts w:ascii="Arial" w:hAnsi="Arial" w:cs="Arial"/>
          <w:sz w:val="20"/>
          <w:szCs w:val="20"/>
        </w:rPr>
        <w:t>Une priorité nouvelle sera accordée à la réalisation d'évaluations régulières selon des indicateurs de performance (les États membres devront communiquer des données pour chaque programme, jusqu'à six fois par an).</w:t>
      </w:r>
    </w:p>
    <w:p w:rsidR="009E7FE1" w:rsidRPr="00146D76" w:rsidRDefault="004660CC" w:rsidP="00146D76">
      <w:pPr>
        <w:jc w:val="both"/>
        <w:rPr>
          <w:rFonts w:ascii="Arial" w:hAnsi="Arial" w:cs="Arial"/>
          <w:sz w:val="20"/>
          <w:szCs w:val="20"/>
        </w:rPr>
      </w:pPr>
      <w:r w:rsidRPr="004660CC">
        <w:rPr>
          <w:rFonts w:ascii="Arial" w:hAnsi="Arial" w:cs="Arial"/>
          <w:sz w:val="20"/>
          <w:szCs w:val="20"/>
        </w:rPr>
        <w:t>Les États membres devront également communiquer un rapport annuel de performance, fournissant des informations sur l'état de mise en œuvre du programme et indiquant si les valeurs intermédiaires et les valeurs cibles ont été atteintes. Une réunion de réexamen sera organisée tous les deux ans entre la Commission et chaque État membre pour apprécier la performance de chaque programme. À la fin de la période, chaque État membre présentera un rapport de performance final.</w:t>
      </w:r>
    </w:p>
    <w:p w:rsidR="009E7FE1" w:rsidRDefault="00146D76" w:rsidP="00146D76">
      <w:pPr>
        <w:pStyle w:val="Paragraphedeliste"/>
        <w:numPr>
          <w:ilvl w:val="0"/>
          <w:numId w:val="12"/>
        </w:numPr>
        <w:jc w:val="both"/>
        <w:rPr>
          <w:rFonts w:ascii="Arial" w:hAnsi="Arial" w:cs="Arial"/>
          <w:b/>
          <w:szCs w:val="20"/>
        </w:rPr>
      </w:pPr>
      <w:r>
        <w:rPr>
          <w:rFonts w:ascii="Arial" w:hAnsi="Arial" w:cs="Arial"/>
          <w:b/>
          <w:szCs w:val="20"/>
        </w:rPr>
        <w:t>L’i</w:t>
      </w:r>
      <w:r w:rsidR="009E7FE1" w:rsidRPr="009E7FE1">
        <w:rPr>
          <w:rFonts w:ascii="Arial" w:hAnsi="Arial" w:cs="Arial"/>
          <w:b/>
          <w:szCs w:val="20"/>
        </w:rPr>
        <w:t xml:space="preserve">ntégration </w:t>
      </w:r>
    </w:p>
    <w:p w:rsidR="00146D76" w:rsidRDefault="00146D76" w:rsidP="00146D76">
      <w:pPr>
        <w:jc w:val="both"/>
        <w:rPr>
          <w:rFonts w:ascii="Arial" w:hAnsi="Arial" w:cs="Arial"/>
          <w:sz w:val="20"/>
          <w:szCs w:val="20"/>
        </w:rPr>
      </w:pPr>
      <w:r>
        <w:rPr>
          <w:rFonts w:ascii="Arial" w:hAnsi="Arial" w:cs="Arial"/>
          <w:sz w:val="20"/>
          <w:szCs w:val="20"/>
        </w:rPr>
        <w:t>Le financement des mesures d’intégration à long terme des ressortissants de pays tiers est dispatché sur plus</w:t>
      </w:r>
      <w:r w:rsidR="00223579">
        <w:rPr>
          <w:rFonts w:ascii="Arial" w:hAnsi="Arial" w:cs="Arial"/>
          <w:sz w:val="20"/>
          <w:szCs w:val="20"/>
        </w:rPr>
        <w:t xml:space="preserve">ieurs financements au titre de la politique </w:t>
      </w:r>
      <w:r>
        <w:rPr>
          <w:rFonts w:ascii="Arial" w:hAnsi="Arial" w:cs="Arial"/>
          <w:sz w:val="20"/>
          <w:szCs w:val="20"/>
        </w:rPr>
        <w:t xml:space="preserve">de cohésion de l’UE. </w:t>
      </w:r>
      <w:r w:rsidR="003B1D4B">
        <w:rPr>
          <w:rFonts w:ascii="Arial" w:hAnsi="Arial" w:cs="Arial"/>
          <w:sz w:val="20"/>
          <w:szCs w:val="20"/>
        </w:rPr>
        <w:t>Il s’intègre dans le deuxième volet du budget multi-annuel de l’UE « Cohésion et valeurs ».</w:t>
      </w:r>
    </w:p>
    <w:p w:rsidR="003B1D4B" w:rsidRPr="00146D76" w:rsidRDefault="003B1D4B" w:rsidP="00146D76">
      <w:pPr>
        <w:jc w:val="both"/>
        <w:rPr>
          <w:rFonts w:ascii="Arial" w:hAnsi="Arial" w:cs="Arial"/>
          <w:sz w:val="20"/>
          <w:szCs w:val="20"/>
        </w:rPr>
      </w:pPr>
      <w:r>
        <w:rPr>
          <w:rFonts w:ascii="Arial" w:hAnsi="Arial" w:cs="Arial"/>
          <w:sz w:val="20"/>
          <w:szCs w:val="20"/>
        </w:rPr>
        <w:t>Les deux fonds principaux qui financeront l’intégration des migrants à long terme sont le Fonds Européen de Développement Régional (</w:t>
      </w:r>
      <w:r w:rsidR="00FE3914">
        <w:rPr>
          <w:rFonts w:ascii="Arial" w:hAnsi="Arial" w:cs="Arial"/>
          <w:sz w:val="20"/>
          <w:szCs w:val="20"/>
        </w:rPr>
        <w:t>FEDR</w:t>
      </w:r>
      <w:r>
        <w:rPr>
          <w:rFonts w:ascii="Arial" w:hAnsi="Arial" w:cs="Arial"/>
          <w:sz w:val="20"/>
          <w:szCs w:val="20"/>
        </w:rPr>
        <w:t xml:space="preserve">) présenté dans le cadre du développement régional et de la politique de cohésion, et le Fond Social européen+ (FSE+). </w:t>
      </w:r>
    </w:p>
    <w:p w:rsidR="009E7FE1" w:rsidRPr="00146D76" w:rsidRDefault="009E7FE1" w:rsidP="00146D76">
      <w:pPr>
        <w:pStyle w:val="Paragraphedeliste"/>
        <w:numPr>
          <w:ilvl w:val="0"/>
          <w:numId w:val="15"/>
        </w:numPr>
        <w:jc w:val="both"/>
        <w:rPr>
          <w:rFonts w:ascii="Arial" w:hAnsi="Arial" w:cs="Arial"/>
          <w:b/>
          <w:szCs w:val="20"/>
        </w:rPr>
      </w:pPr>
      <w:r w:rsidRPr="00146D76">
        <w:rPr>
          <w:rFonts w:ascii="Arial" w:hAnsi="Arial" w:cs="Arial"/>
          <w:b/>
          <w:szCs w:val="20"/>
        </w:rPr>
        <w:t xml:space="preserve">Le </w:t>
      </w:r>
      <w:r w:rsidR="00FE3914">
        <w:rPr>
          <w:rFonts w:ascii="Arial" w:hAnsi="Arial" w:cs="Arial"/>
          <w:b/>
          <w:szCs w:val="20"/>
        </w:rPr>
        <w:t>FEDR</w:t>
      </w:r>
      <w:r w:rsidRPr="00146D76">
        <w:rPr>
          <w:rFonts w:ascii="Arial" w:hAnsi="Arial" w:cs="Arial"/>
          <w:b/>
          <w:szCs w:val="20"/>
        </w:rPr>
        <w:t xml:space="preserve"> et le Fonds de cohésion</w:t>
      </w:r>
    </w:p>
    <w:p w:rsidR="00B759DA" w:rsidRDefault="00B759DA" w:rsidP="009E7FE1">
      <w:pPr>
        <w:jc w:val="both"/>
        <w:rPr>
          <w:rFonts w:ascii="Arial" w:hAnsi="Arial" w:cs="Arial"/>
          <w:sz w:val="20"/>
          <w:szCs w:val="20"/>
        </w:rPr>
      </w:pPr>
      <w:r>
        <w:rPr>
          <w:rFonts w:ascii="Arial" w:hAnsi="Arial" w:cs="Arial"/>
          <w:sz w:val="20"/>
          <w:szCs w:val="20"/>
        </w:rPr>
        <w:t xml:space="preserve">La Commission européenne prévoit une enveloppe de 273 milliards d’euros pour le </w:t>
      </w:r>
      <w:r w:rsidR="00FE3914">
        <w:rPr>
          <w:rFonts w:ascii="Arial" w:hAnsi="Arial" w:cs="Arial"/>
          <w:sz w:val="20"/>
          <w:szCs w:val="20"/>
        </w:rPr>
        <w:t>FEDR</w:t>
      </w:r>
      <w:r>
        <w:rPr>
          <w:rFonts w:ascii="Arial" w:hAnsi="Arial" w:cs="Arial"/>
          <w:sz w:val="20"/>
          <w:szCs w:val="20"/>
        </w:rPr>
        <w:t xml:space="preserve"> et le Fonds de cohésion, dont 200,6 milliards pour le </w:t>
      </w:r>
      <w:r w:rsidR="00FE3914">
        <w:rPr>
          <w:rFonts w:ascii="Arial" w:hAnsi="Arial" w:cs="Arial"/>
          <w:sz w:val="20"/>
          <w:szCs w:val="20"/>
        </w:rPr>
        <w:t>FEDR</w:t>
      </w:r>
      <w:r>
        <w:rPr>
          <w:rFonts w:ascii="Arial" w:hAnsi="Arial" w:cs="Arial"/>
          <w:sz w:val="20"/>
          <w:szCs w:val="20"/>
        </w:rPr>
        <w:t xml:space="preserve"> répartis de la manière suivante :</w:t>
      </w:r>
    </w:p>
    <w:p w:rsidR="00B759DA" w:rsidRDefault="00B759DA" w:rsidP="00B759DA">
      <w:pPr>
        <w:pStyle w:val="Paragraphedeliste"/>
        <w:numPr>
          <w:ilvl w:val="0"/>
          <w:numId w:val="2"/>
        </w:numPr>
        <w:jc w:val="both"/>
        <w:rPr>
          <w:rFonts w:ascii="Arial" w:hAnsi="Arial" w:cs="Arial"/>
          <w:sz w:val="20"/>
          <w:szCs w:val="20"/>
        </w:rPr>
      </w:pPr>
      <w:r>
        <w:rPr>
          <w:rFonts w:ascii="Arial" w:hAnsi="Arial" w:cs="Arial"/>
          <w:sz w:val="20"/>
          <w:szCs w:val="20"/>
        </w:rPr>
        <w:t>190,7 milliards pour l’investissement pour l’emploi et la croissance</w:t>
      </w:r>
    </w:p>
    <w:p w:rsidR="00B759DA" w:rsidRDefault="00B759DA" w:rsidP="00B759DA">
      <w:pPr>
        <w:pStyle w:val="Paragraphedeliste"/>
        <w:numPr>
          <w:ilvl w:val="0"/>
          <w:numId w:val="2"/>
        </w:numPr>
        <w:jc w:val="both"/>
        <w:rPr>
          <w:rFonts w:ascii="Arial" w:hAnsi="Arial" w:cs="Arial"/>
          <w:sz w:val="20"/>
          <w:szCs w:val="20"/>
        </w:rPr>
      </w:pPr>
      <w:r>
        <w:rPr>
          <w:rFonts w:ascii="Arial" w:hAnsi="Arial" w:cs="Arial"/>
          <w:sz w:val="20"/>
          <w:szCs w:val="20"/>
        </w:rPr>
        <w:t>8,5 milliards pour la coopération territoriale européenne</w:t>
      </w:r>
    </w:p>
    <w:p w:rsidR="00B759DA" w:rsidRPr="00B759DA" w:rsidRDefault="00B759DA" w:rsidP="00B759DA">
      <w:pPr>
        <w:pStyle w:val="Paragraphedeliste"/>
        <w:numPr>
          <w:ilvl w:val="0"/>
          <w:numId w:val="2"/>
        </w:numPr>
        <w:jc w:val="both"/>
        <w:rPr>
          <w:rFonts w:ascii="Arial" w:hAnsi="Arial" w:cs="Arial"/>
          <w:sz w:val="20"/>
          <w:szCs w:val="20"/>
        </w:rPr>
      </w:pPr>
      <w:r>
        <w:rPr>
          <w:rFonts w:ascii="Arial" w:hAnsi="Arial" w:cs="Arial"/>
          <w:sz w:val="20"/>
          <w:szCs w:val="20"/>
        </w:rPr>
        <w:t>1,4 milliards pour les régions ultrapériphériques et à faible densité de population.</w:t>
      </w:r>
    </w:p>
    <w:p w:rsidR="00B759DA" w:rsidRDefault="00B759DA" w:rsidP="00F3355F">
      <w:pPr>
        <w:spacing w:after="0"/>
        <w:jc w:val="both"/>
        <w:rPr>
          <w:rFonts w:ascii="Arial" w:hAnsi="Arial" w:cs="Arial"/>
          <w:sz w:val="20"/>
          <w:szCs w:val="20"/>
        </w:rPr>
      </w:pPr>
      <w:r>
        <w:rPr>
          <w:rFonts w:ascii="Arial" w:hAnsi="Arial" w:cs="Arial"/>
          <w:sz w:val="20"/>
          <w:szCs w:val="20"/>
        </w:rPr>
        <w:lastRenderedPageBreak/>
        <w:t xml:space="preserve">Les fonds </w:t>
      </w:r>
      <w:r w:rsidR="00FE3914">
        <w:rPr>
          <w:rFonts w:ascii="Arial" w:hAnsi="Arial" w:cs="Arial"/>
          <w:sz w:val="20"/>
          <w:szCs w:val="20"/>
        </w:rPr>
        <w:t>FEDR</w:t>
      </w:r>
      <w:r>
        <w:rPr>
          <w:rFonts w:ascii="Arial" w:hAnsi="Arial" w:cs="Arial"/>
          <w:sz w:val="20"/>
          <w:szCs w:val="20"/>
        </w:rPr>
        <w:t xml:space="preserve"> et de cohésion doivent notamment mettre en œuvre le Socle européen des droits sociaux</w:t>
      </w:r>
      <w:r w:rsidR="00F3355F">
        <w:rPr>
          <w:rStyle w:val="Appelnotedebasdep"/>
          <w:rFonts w:ascii="Arial" w:hAnsi="Arial" w:cs="Arial"/>
          <w:sz w:val="20"/>
          <w:szCs w:val="20"/>
        </w:rPr>
        <w:footnoteReference w:id="4"/>
      </w:r>
      <w:r>
        <w:rPr>
          <w:rFonts w:ascii="Arial" w:hAnsi="Arial" w:cs="Arial"/>
          <w:sz w:val="20"/>
          <w:szCs w:val="20"/>
        </w:rPr>
        <w:t xml:space="preserve">. Ce Socle a été adopté le 17 novembre 2017 par la Commission européen, le Conseil de l’UE et le Parlement européen et comporte trois grands volets : </w:t>
      </w:r>
      <w:r w:rsidR="00F3355F">
        <w:rPr>
          <w:rFonts w:ascii="Arial" w:hAnsi="Arial" w:cs="Arial"/>
          <w:sz w:val="20"/>
          <w:szCs w:val="20"/>
        </w:rPr>
        <w:t>l</w:t>
      </w:r>
      <w:r>
        <w:rPr>
          <w:rFonts w:ascii="Arial" w:hAnsi="Arial" w:cs="Arial"/>
          <w:sz w:val="20"/>
          <w:szCs w:val="20"/>
        </w:rPr>
        <w:t>’égalité des chances et l’accès au marché du travail</w:t>
      </w:r>
      <w:r w:rsidR="00F3355F">
        <w:rPr>
          <w:rFonts w:ascii="Arial" w:hAnsi="Arial" w:cs="Arial"/>
          <w:sz w:val="20"/>
          <w:szCs w:val="20"/>
        </w:rPr>
        <w:t> ; l</w:t>
      </w:r>
      <w:r>
        <w:rPr>
          <w:rFonts w:ascii="Arial" w:hAnsi="Arial" w:cs="Arial"/>
          <w:sz w:val="20"/>
          <w:szCs w:val="20"/>
        </w:rPr>
        <w:t>es conditions de travail équitables</w:t>
      </w:r>
      <w:r w:rsidR="00F3355F">
        <w:rPr>
          <w:rFonts w:ascii="Arial" w:hAnsi="Arial" w:cs="Arial"/>
          <w:sz w:val="20"/>
          <w:szCs w:val="20"/>
        </w:rPr>
        <w:t> ; et l</w:t>
      </w:r>
      <w:r>
        <w:rPr>
          <w:rFonts w:ascii="Arial" w:hAnsi="Arial" w:cs="Arial"/>
          <w:sz w:val="20"/>
          <w:szCs w:val="20"/>
        </w:rPr>
        <w:t>a protection sociale et l’inclusion sociale.</w:t>
      </w:r>
    </w:p>
    <w:p w:rsidR="00223579" w:rsidRDefault="00223579" w:rsidP="00F3355F">
      <w:pPr>
        <w:spacing w:after="0"/>
        <w:jc w:val="both"/>
        <w:rPr>
          <w:rFonts w:ascii="Arial" w:hAnsi="Arial" w:cs="Arial"/>
          <w:sz w:val="20"/>
          <w:szCs w:val="20"/>
        </w:rPr>
      </w:pPr>
    </w:p>
    <w:p w:rsidR="00B759DA" w:rsidRPr="00B759DA" w:rsidRDefault="00F3355F" w:rsidP="00B759DA">
      <w:pPr>
        <w:jc w:val="both"/>
        <w:rPr>
          <w:rFonts w:ascii="Arial" w:hAnsi="Arial" w:cs="Arial"/>
          <w:sz w:val="20"/>
          <w:szCs w:val="20"/>
        </w:rPr>
      </w:pPr>
      <w:r>
        <w:rPr>
          <w:rFonts w:ascii="Arial" w:hAnsi="Arial" w:cs="Arial"/>
          <w:sz w:val="20"/>
          <w:szCs w:val="20"/>
        </w:rPr>
        <w:t xml:space="preserve">Ainsi l’objectif </w:t>
      </w:r>
      <w:r w:rsidR="00355D97">
        <w:rPr>
          <w:rFonts w:ascii="Arial" w:hAnsi="Arial" w:cs="Arial"/>
          <w:sz w:val="20"/>
          <w:szCs w:val="20"/>
        </w:rPr>
        <w:t xml:space="preserve">spécifique 4 </w:t>
      </w:r>
      <w:r w:rsidR="00223579">
        <w:rPr>
          <w:rFonts w:ascii="Arial" w:hAnsi="Arial" w:cs="Arial"/>
          <w:sz w:val="20"/>
          <w:szCs w:val="20"/>
        </w:rPr>
        <w:t xml:space="preserve">(Article 2.d) du fonds </w:t>
      </w:r>
      <w:r w:rsidR="00FE3914">
        <w:rPr>
          <w:rFonts w:ascii="Arial" w:hAnsi="Arial" w:cs="Arial"/>
          <w:sz w:val="20"/>
          <w:szCs w:val="20"/>
        </w:rPr>
        <w:t>FEDR</w:t>
      </w:r>
      <w:r w:rsidR="00223579">
        <w:rPr>
          <w:rFonts w:ascii="Arial" w:hAnsi="Arial" w:cs="Arial"/>
          <w:sz w:val="20"/>
          <w:szCs w:val="20"/>
        </w:rPr>
        <w:t xml:space="preserve"> </w:t>
      </w:r>
      <w:r w:rsidR="00355D97">
        <w:rPr>
          <w:rFonts w:ascii="Arial" w:hAnsi="Arial" w:cs="Arial"/>
          <w:sz w:val="20"/>
          <w:szCs w:val="20"/>
        </w:rPr>
        <w:t>est</w:t>
      </w:r>
      <w:r w:rsidR="00223579">
        <w:rPr>
          <w:rFonts w:ascii="Arial" w:hAnsi="Arial" w:cs="Arial"/>
          <w:sz w:val="20"/>
          <w:szCs w:val="20"/>
        </w:rPr>
        <w:t> :</w:t>
      </w:r>
      <w:r>
        <w:rPr>
          <w:rFonts w:ascii="Arial" w:hAnsi="Arial" w:cs="Arial"/>
          <w:sz w:val="20"/>
          <w:szCs w:val="20"/>
        </w:rPr>
        <w:t xml:space="preserve"> </w:t>
      </w:r>
    </w:p>
    <w:p w:rsidR="009E7FE1" w:rsidRDefault="009E7FE1" w:rsidP="00F3355F">
      <w:pPr>
        <w:ind w:firstLine="360"/>
        <w:jc w:val="both"/>
        <w:rPr>
          <w:sz w:val="23"/>
          <w:szCs w:val="23"/>
        </w:rPr>
      </w:pPr>
      <w:r w:rsidRPr="009E7FE1">
        <w:rPr>
          <w:rFonts w:ascii="Arial" w:hAnsi="Arial" w:cs="Arial"/>
          <w:sz w:val="20"/>
          <w:szCs w:val="20"/>
        </w:rPr>
        <w:t>«</w:t>
      </w:r>
      <w:proofErr w:type="gramStart"/>
      <w:r w:rsidRPr="009E7FE1">
        <w:rPr>
          <w:rFonts w:ascii="Arial" w:hAnsi="Arial" w:cs="Arial"/>
          <w:sz w:val="20"/>
          <w:szCs w:val="20"/>
        </w:rPr>
        <w:t>une</w:t>
      </w:r>
      <w:proofErr w:type="gramEnd"/>
      <w:r w:rsidRPr="009E7FE1">
        <w:rPr>
          <w:rFonts w:ascii="Arial" w:hAnsi="Arial" w:cs="Arial"/>
          <w:sz w:val="20"/>
          <w:szCs w:val="20"/>
        </w:rPr>
        <w:t xml:space="preserve"> Europe plus sociale mettant en </w:t>
      </w:r>
      <w:r w:rsidR="003B1D4B" w:rsidRPr="009E7FE1">
        <w:rPr>
          <w:rFonts w:ascii="Arial" w:hAnsi="Arial" w:cs="Arial"/>
          <w:sz w:val="20"/>
          <w:szCs w:val="20"/>
        </w:rPr>
        <w:t>œuvre</w:t>
      </w:r>
      <w:r w:rsidRPr="009E7FE1">
        <w:rPr>
          <w:rFonts w:ascii="Arial" w:hAnsi="Arial" w:cs="Arial"/>
          <w:sz w:val="20"/>
          <w:szCs w:val="20"/>
        </w:rPr>
        <w:t xml:space="preserve"> le </w:t>
      </w:r>
      <w:r w:rsidR="00223579">
        <w:rPr>
          <w:rFonts w:ascii="Arial" w:hAnsi="Arial" w:cs="Arial"/>
          <w:sz w:val="20"/>
          <w:szCs w:val="20"/>
        </w:rPr>
        <w:t>S</w:t>
      </w:r>
      <w:r w:rsidRPr="009E7FE1">
        <w:rPr>
          <w:rFonts w:ascii="Arial" w:hAnsi="Arial" w:cs="Arial"/>
          <w:sz w:val="20"/>
          <w:szCs w:val="20"/>
        </w:rPr>
        <w:t>ocle européen des droits sociaux</w:t>
      </w:r>
      <w:r w:rsidR="00F3355F">
        <w:rPr>
          <w:rFonts w:ascii="Arial" w:hAnsi="Arial" w:cs="Arial"/>
          <w:sz w:val="20"/>
          <w:szCs w:val="20"/>
        </w:rPr>
        <w:t xml:space="preserve"> </w:t>
      </w:r>
      <w:r w:rsidRPr="009E7FE1">
        <w:rPr>
          <w:rFonts w:ascii="Arial" w:hAnsi="Arial" w:cs="Arial"/>
          <w:sz w:val="20"/>
          <w:szCs w:val="20"/>
        </w:rPr>
        <w:t xml:space="preserve">» en: </w:t>
      </w:r>
    </w:p>
    <w:p w:rsidR="009E7FE1" w:rsidRPr="009E7FE1" w:rsidRDefault="009E7FE1" w:rsidP="009E7FE1">
      <w:pPr>
        <w:pStyle w:val="Paragraphedeliste"/>
        <w:numPr>
          <w:ilvl w:val="0"/>
          <w:numId w:val="6"/>
        </w:numPr>
        <w:jc w:val="both"/>
        <w:rPr>
          <w:rFonts w:ascii="Arial" w:hAnsi="Arial" w:cs="Arial"/>
          <w:sz w:val="20"/>
          <w:szCs w:val="20"/>
        </w:rPr>
      </w:pPr>
      <w:r w:rsidRPr="009E7FE1">
        <w:rPr>
          <w:rFonts w:ascii="Arial" w:hAnsi="Arial" w:cs="Arial"/>
          <w:sz w:val="20"/>
          <w:szCs w:val="20"/>
        </w:rPr>
        <w:t xml:space="preserve">améliorant l’efficacité des marchés du travail et l’accès à un emploi de bonne qualité grâce au développement de l’innovation et des infrastructures en matière sociale; </w:t>
      </w:r>
    </w:p>
    <w:p w:rsidR="009E7FE1" w:rsidRPr="009E7FE1" w:rsidRDefault="009E7FE1" w:rsidP="009E7FE1">
      <w:pPr>
        <w:pStyle w:val="Paragraphedeliste"/>
        <w:numPr>
          <w:ilvl w:val="0"/>
          <w:numId w:val="6"/>
        </w:numPr>
        <w:jc w:val="both"/>
        <w:rPr>
          <w:rFonts w:ascii="Arial" w:hAnsi="Arial" w:cs="Arial"/>
          <w:sz w:val="20"/>
          <w:szCs w:val="20"/>
        </w:rPr>
      </w:pPr>
      <w:r w:rsidRPr="009E7FE1">
        <w:rPr>
          <w:rFonts w:ascii="Arial" w:hAnsi="Arial" w:cs="Arial"/>
          <w:sz w:val="20"/>
          <w:szCs w:val="20"/>
        </w:rPr>
        <w:t xml:space="preserve">améliorant l’accès à des services de qualité et inclusifs dans l’éducation, la formation et l’apprentissage tout au long de la vie grâce au développement des infrastructures; </w:t>
      </w:r>
    </w:p>
    <w:p w:rsidR="009E7FE1" w:rsidRPr="00355D97" w:rsidRDefault="009E7FE1" w:rsidP="009E7FE1">
      <w:pPr>
        <w:pStyle w:val="Paragraphedeliste"/>
        <w:numPr>
          <w:ilvl w:val="0"/>
          <w:numId w:val="6"/>
        </w:numPr>
        <w:jc w:val="both"/>
        <w:rPr>
          <w:rFonts w:ascii="Arial" w:hAnsi="Arial" w:cs="Arial"/>
          <w:b/>
          <w:sz w:val="20"/>
          <w:szCs w:val="20"/>
        </w:rPr>
      </w:pPr>
      <w:r w:rsidRPr="00355D97">
        <w:rPr>
          <w:rFonts w:ascii="Arial" w:hAnsi="Arial" w:cs="Arial"/>
          <w:b/>
          <w:sz w:val="20"/>
          <w:szCs w:val="20"/>
        </w:rPr>
        <w:t xml:space="preserve">renforçant l’intégration socioéconomique des communautés marginalisées, </w:t>
      </w:r>
      <w:r w:rsidRPr="00223579">
        <w:rPr>
          <w:rFonts w:ascii="Arial" w:hAnsi="Arial" w:cs="Arial"/>
          <w:b/>
          <w:sz w:val="20"/>
          <w:szCs w:val="20"/>
          <w:u w:val="single"/>
        </w:rPr>
        <w:t xml:space="preserve">des migrants </w:t>
      </w:r>
      <w:r w:rsidRPr="00355D97">
        <w:rPr>
          <w:rFonts w:ascii="Arial" w:hAnsi="Arial" w:cs="Arial"/>
          <w:b/>
          <w:sz w:val="20"/>
          <w:szCs w:val="20"/>
        </w:rPr>
        <w:t xml:space="preserve">et des groupes défavorisés, au moyen de mesures intégrées, notamment en ce qui concerne le logement et les services sociaux; </w:t>
      </w:r>
    </w:p>
    <w:p w:rsidR="009E7FE1" w:rsidRDefault="009E7FE1" w:rsidP="009E7FE1">
      <w:pPr>
        <w:pStyle w:val="Paragraphedeliste"/>
        <w:numPr>
          <w:ilvl w:val="0"/>
          <w:numId w:val="6"/>
        </w:numPr>
        <w:jc w:val="both"/>
        <w:rPr>
          <w:rFonts w:ascii="Arial" w:hAnsi="Arial" w:cs="Arial"/>
          <w:sz w:val="20"/>
          <w:szCs w:val="20"/>
        </w:rPr>
      </w:pPr>
      <w:r w:rsidRPr="009E7FE1">
        <w:rPr>
          <w:rFonts w:ascii="Arial" w:hAnsi="Arial" w:cs="Arial"/>
          <w:sz w:val="20"/>
          <w:szCs w:val="20"/>
        </w:rPr>
        <w:t>garantissant l’égalité de l’accès aux soins de santé grâce au développement des infrastructures, y compris les soins de santé primaires;</w:t>
      </w:r>
    </w:p>
    <w:p w:rsidR="00355D97" w:rsidRDefault="00355D97" w:rsidP="00355D97">
      <w:pPr>
        <w:ind w:firstLine="708"/>
        <w:jc w:val="both"/>
        <w:rPr>
          <w:rFonts w:ascii="Arial" w:hAnsi="Arial" w:cs="Arial"/>
          <w:i/>
          <w:sz w:val="20"/>
          <w:szCs w:val="20"/>
          <w:u w:val="single"/>
        </w:rPr>
      </w:pPr>
      <w:r w:rsidRPr="00355D97">
        <w:rPr>
          <w:rFonts w:ascii="Arial" w:hAnsi="Arial" w:cs="Arial"/>
          <w:i/>
          <w:sz w:val="20"/>
          <w:szCs w:val="20"/>
          <w:u w:val="single"/>
        </w:rPr>
        <w:t>Répartition des fonds</w:t>
      </w:r>
    </w:p>
    <w:p w:rsidR="00223579" w:rsidRDefault="00355D97" w:rsidP="00355D97">
      <w:pPr>
        <w:jc w:val="both"/>
        <w:rPr>
          <w:rFonts w:ascii="Arial" w:hAnsi="Arial" w:cs="Arial"/>
          <w:sz w:val="20"/>
          <w:szCs w:val="20"/>
        </w:rPr>
      </w:pPr>
      <w:r>
        <w:rPr>
          <w:rFonts w:ascii="Arial" w:hAnsi="Arial" w:cs="Arial"/>
          <w:sz w:val="20"/>
          <w:szCs w:val="20"/>
        </w:rPr>
        <w:t>La plus grande partie des fonds de développement régional sera concentrée sur les deux premiers objectifs (économie intelligente et innovante : transition énergétique et énergies renouvelables), soit entre 65% et 85% des ressour</w:t>
      </w:r>
      <w:r w:rsidR="00703154">
        <w:rPr>
          <w:rFonts w:ascii="Arial" w:hAnsi="Arial" w:cs="Arial"/>
          <w:sz w:val="20"/>
          <w:szCs w:val="20"/>
        </w:rPr>
        <w:t xml:space="preserve">ces </w:t>
      </w:r>
      <w:r w:rsidR="00FE3914">
        <w:rPr>
          <w:rFonts w:ascii="Arial" w:hAnsi="Arial" w:cs="Arial"/>
          <w:sz w:val="20"/>
          <w:szCs w:val="20"/>
        </w:rPr>
        <w:t>FEDR</w:t>
      </w:r>
      <w:r w:rsidR="00703154">
        <w:rPr>
          <w:rFonts w:ascii="Arial" w:hAnsi="Arial" w:cs="Arial"/>
          <w:sz w:val="20"/>
          <w:szCs w:val="20"/>
        </w:rPr>
        <w:t xml:space="preserve"> et du Fonds cohésion. Les fonds restants pour les objectifs 3,4 et 5 sont ainsi limités de 15 à 35% des fonds. </w:t>
      </w:r>
    </w:p>
    <w:p w:rsidR="00703154" w:rsidRDefault="00703154" w:rsidP="00355D97">
      <w:pPr>
        <w:jc w:val="both"/>
        <w:rPr>
          <w:rFonts w:ascii="Arial" w:hAnsi="Arial" w:cs="Arial"/>
          <w:sz w:val="20"/>
          <w:szCs w:val="20"/>
        </w:rPr>
      </w:pPr>
      <w:r>
        <w:rPr>
          <w:rFonts w:ascii="Arial" w:hAnsi="Arial" w:cs="Arial"/>
          <w:sz w:val="20"/>
          <w:szCs w:val="20"/>
        </w:rPr>
        <w:t xml:space="preserve">Il n’y a pas de fonds cantonnés à l’objectif spécifique 4 où l’intégration des migrants est spécifiquement mentionnée. </w:t>
      </w:r>
    </w:p>
    <w:p w:rsidR="00355D97" w:rsidRDefault="00355D97" w:rsidP="00355D97">
      <w:pPr>
        <w:jc w:val="both"/>
        <w:rPr>
          <w:rFonts w:ascii="Arial" w:hAnsi="Arial" w:cs="Arial"/>
          <w:sz w:val="20"/>
          <w:szCs w:val="20"/>
        </w:rPr>
      </w:pPr>
      <w:r>
        <w:rPr>
          <w:rFonts w:ascii="Arial" w:hAnsi="Arial" w:cs="Arial"/>
          <w:sz w:val="20"/>
          <w:szCs w:val="20"/>
        </w:rPr>
        <w:t>Ces fonds sont également répartis sur la base de trois catégories : régions moins développés, en transition et plus développées. La méthode de répartition des fonds est fondée essentiellement sur le PIB par habitant</w:t>
      </w:r>
      <w:r w:rsidR="00223579">
        <w:rPr>
          <w:rFonts w:ascii="Arial" w:hAnsi="Arial" w:cs="Arial"/>
          <w:sz w:val="20"/>
          <w:szCs w:val="20"/>
        </w:rPr>
        <w:t xml:space="preserve"> (« méthode Berlin »)</w:t>
      </w:r>
      <w:r>
        <w:rPr>
          <w:rFonts w:ascii="Arial" w:hAnsi="Arial" w:cs="Arial"/>
          <w:sz w:val="20"/>
          <w:szCs w:val="20"/>
        </w:rPr>
        <w:t xml:space="preserve">. De nouveaux critères ont été ajoutés, notamment le chômage des jeunes, le faible niveau scolaire, le changement climatique, et </w:t>
      </w:r>
      <w:r w:rsidRPr="00355D97">
        <w:rPr>
          <w:rFonts w:ascii="Arial" w:hAnsi="Arial" w:cs="Arial"/>
          <w:sz w:val="20"/>
          <w:szCs w:val="20"/>
          <w:u w:val="single"/>
        </w:rPr>
        <w:t>l’accueil et l’</w:t>
      </w:r>
      <w:r>
        <w:rPr>
          <w:rFonts w:ascii="Arial" w:hAnsi="Arial" w:cs="Arial"/>
          <w:sz w:val="20"/>
          <w:szCs w:val="20"/>
          <w:u w:val="single"/>
        </w:rPr>
        <w:t>intégration des migrants</w:t>
      </w:r>
      <w:r>
        <w:rPr>
          <w:rFonts w:ascii="Arial" w:hAnsi="Arial" w:cs="Arial"/>
          <w:sz w:val="20"/>
          <w:szCs w:val="20"/>
        </w:rPr>
        <w:t xml:space="preserve"> pour mieux tenir compte des réalités de terrain. </w:t>
      </w:r>
    </w:p>
    <w:p w:rsidR="00703154" w:rsidRDefault="00703154" w:rsidP="00355D97">
      <w:pPr>
        <w:jc w:val="both"/>
        <w:rPr>
          <w:rFonts w:ascii="Arial" w:hAnsi="Arial" w:cs="Arial"/>
          <w:sz w:val="20"/>
          <w:szCs w:val="20"/>
        </w:rPr>
      </w:pPr>
      <w:r>
        <w:rPr>
          <w:rFonts w:ascii="Arial" w:hAnsi="Arial" w:cs="Arial"/>
          <w:sz w:val="20"/>
          <w:szCs w:val="20"/>
        </w:rPr>
        <w:t xml:space="preserve">Davantage de pouvoir </w:t>
      </w:r>
      <w:r w:rsidR="00DF718D">
        <w:rPr>
          <w:rFonts w:ascii="Arial" w:hAnsi="Arial" w:cs="Arial"/>
          <w:sz w:val="20"/>
          <w:szCs w:val="20"/>
        </w:rPr>
        <w:t>sera</w:t>
      </w:r>
      <w:r>
        <w:rPr>
          <w:rFonts w:ascii="Arial" w:hAnsi="Arial" w:cs="Arial"/>
          <w:sz w:val="20"/>
          <w:szCs w:val="20"/>
        </w:rPr>
        <w:t xml:space="preserve"> donné aux autorités locales dans la gestion des fonds pour soutenir les stratégies de développement mené au niveau local. </w:t>
      </w:r>
    </w:p>
    <w:p w:rsidR="00703154" w:rsidRDefault="00DF718D" w:rsidP="00703154">
      <w:pPr>
        <w:ind w:firstLine="708"/>
        <w:jc w:val="both"/>
        <w:rPr>
          <w:rFonts w:ascii="Arial" w:hAnsi="Arial" w:cs="Arial"/>
          <w:i/>
          <w:sz w:val="20"/>
          <w:szCs w:val="20"/>
          <w:u w:val="single"/>
        </w:rPr>
      </w:pPr>
      <w:r>
        <w:rPr>
          <w:rFonts w:ascii="Arial" w:hAnsi="Arial" w:cs="Arial"/>
          <w:i/>
          <w:sz w:val="20"/>
          <w:szCs w:val="20"/>
          <w:u w:val="single"/>
        </w:rPr>
        <w:t>Les s</w:t>
      </w:r>
      <w:r w:rsidR="00703154" w:rsidRPr="00703154">
        <w:rPr>
          <w:rFonts w:ascii="Arial" w:hAnsi="Arial" w:cs="Arial"/>
          <w:i/>
          <w:sz w:val="20"/>
          <w:szCs w:val="20"/>
          <w:u w:val="single"/>
        </w:rPr>
        <w:t>ynergies entre les outils budgétaires</w:t>
      </w:r>
    </w:p>
    <w:p w:rsidR="00703154" w:rsidRDefault="00D27C81" w:rsidP="00703154">
      <w:pPr>
        <w:jc w:val="both"/>
        <w:rPr>
          <w:rFonts w:ascii="Arial" w:hAnsi="Arial" w:cs="Arial"/>
          <w:sz w:val="20"/>
          <w:szCs w:val="20"/>
        </w:rPr>
      </w:pPr>
      <w:r>
        <w:rPr>
          <w:rFonts w:ascii="Arial" w:hAnsi="Arial" w:cs="Arial"/>
          <w:sz w:val="20"/>
          <w:szCs w:val="20"/>
        </w:rPr>
        <w:t xml:space="preserve">Le </w:t>
      </w:r>
      <w:r w:rsidR="00FE3914">
        <w:rPr>
          <w:rFonts w:ascii="Arial" w:hAnsi="Arial" w:cs="Arial"/>
          <w:sz w:val="20"/>
          <w:szCs w:val="20"/>
        </w:rPr>
        <w:t>FEDR</w:t>
      </w:r>
      <w:r>
        <w:rPr>
          <w:rFonts w:ascii="Arial" w:hAnsi="Arial" w:cs="Arial"/>
          <w:sz w:val="20"/>
          <w:szCs w:val="20"/>
        </w:rPr>
        <w:t xml:space="preserve"> et le FSE+ peuvent être combinés de manière plus souple dans le cadre d’un seul et même projet</w:t>
      </w:r>
      <w:r w:rsidR="00A102A3">
        <w:rPr>
          <w:rFonts w:ascii="Arial" w:hAnsi="Arial" w:cs="Arial"/>
          <w:sz w:val="20"/>
          <w:szCs w:val="20"/>
        </w:rPr>
        <w:t xml:space="preserve">. L’élaboration de stratégies d’intégration locale pour les migrants et les demandeurs d’asile devrait être facilitée par la synergie entre le Fonds « Asile et migration » qui ciblent les besoins à court terme après l’arrivée (accueil et soins de santé par exemple) et les fonds de la politique de cohésion (notamment </w:t>
      </w:r>
      <w:r w:rsidR="00FE3914">
        <w:rPr>
          <w:rFonts w:ascii="Arial" w:hAnsi="Arial" w:cs="Arial"/>
          <w:sz w:val="20"/>
          <w:szCs w:val="20"/>
        </w:rPr>
        <w:t>FEDR</w:t>
      </w:r>
      <w:r w:rsidR="00A102A3">
        <w:rPr>
          <w:rFonts w:ascii="Arial" w:hAnsi="Arial" w:cs="Arial"/>
          <w:sz w:val="20"/>
          <w:szCs w:val="20"/>
        </w:rPr>
        <w:t xml:space="preserve"> et FSE+) qui soutiennent l’intégration sociale et professionnelle à long terme. </w:t>
      </w:r>
    </w:p>
    <w:p w:rsidR="00A102A3" w:rsidRDefault="00A102A3" w:rsidP="00703154">
      <w:pPr>
        <w:jc w:val="both"/>
        <w:rPr>
          <w:rFonts w:ascii="Arial" w:hAnsi="Arial" w:cs="Arial"/>
          <w:sz w:val="20"/>
          <w:szCs w:val="20"/>
        </w:rPr>
      </w:pPr>
      <w:r>
        <w:rPr>
          <w:rFonts w:ascii="Arial" w:hAnsi="Arial" w:cs="Arial"/>
          <w:sz w:val="20"/>
          <w:szCs w:val="20"/>
        </w:rPr>
        <w:t xml:space="preserve">De nouvelles dispositions plus claires devraient permettre de combiner plus facilement des subventions et des instruments financiers dans un seul et même projet. </w:t>
      </w:r>
    </w:p>
    <w:p w:rsidR="00D27C81" w:rsidRDefault="00DF718D" w:rsidP="00D27C81">
      <w:pPr>
        <w:ind w:firstLine="708"/>
        <w:jc w:val="both"/>
        <w:rPr>
          <w:rFonts w:ascii="Arial" w:hAnsi="Arial" w:cs="Arial"/>
          <w:i/>
          <w:sz w:val="20"/>
          <w:szCs w:val="20"/>
          <w:u w:val="single"/>
        </w:rPr>
      </w:pPr>
      <w:r w:rsidRPr="00DF718D">
        <w:rPr>
          <w:rFonts w:ascii="Arial" w:hAnsi="Arial" w:cs="Arial"/>
          <w:i/>
          <w:sz w:val="20"/>
          <w:szCs w:val="20"/>
          <w:u w:val="single"/>
        </w:rPr>
        <w:t>Le suivi des fonds alloués</w:t>
      </w:r>
    </w:p>
    <w:p w:rsidR="00D27C81" w:rsidRDefault="00D27C81" w:rsidP="00D27C81">
      <w:pPr>
        <w:jc w:val="both"/>
        <w:rPr>
          <w:rFonts w:ascii="Arial" w:hAnsi="Arial" w:cs="Arial"/>
          <w:sz w:val="20"/>
          <w:szCs w:val="20"/>
        </w:rPr>
      </w:pPr>
      <w:r>
        <w:rPr>
          <w:rFonts w:ascii="Arial" w:hAnsi="Arial" w:cs="Arial"/>
          <w:sz w:val="20"/>
          <w:szCs w:val="20"/>
        </w:rPr>
        <w:t xml:space="preserve">La Commission propose également des contrôles allégés pour les programmes qui peuvent se prévaloir d’un bon bilan et un recours accru à des systèmes de gestion nationaux ainsi que l’extension du principe de l’audit unique, afin d’éviter la duplication des contrôles. </w:t>
      </w:r>
    </w:p>
    <w:p w:rsidR="00D27C81" w:rsidRPr="00D27C81" w:rsidRDefault="00D27C81" w:rsidP="00D27C81">
      <w:pPr>
        <w:jc w:val="both"/>
        <w:rPr>
          <w:rFonts w:ascii="Arial" w:hAnsi="Arial" w:cs="Arial"/>
          <w:sz w:val="20"/>
          <w:szCs w:val="20"/>
        </w:rPr>
      </w:pPr>
      <w:r>
        <w:rPr>
          <w:rFonts w:ascii="Arial" w:hAnsi="Arial" w:cs="Arial"/>
          <w:sz w:val="20"/>
          <w:szCs w:val="20"/>
        </w:rPr>
        <w:lastRenderedPageBreak/>
        <w:t xml:space="preserve">Une révision à mi-parcours déterminera si des changements sont nécessaires dans les programmes pour les deux dernières années de la période de financement, en fonction de nouvelles priorités, de la performance des programmes et des recommandations pays les plus récentes. </w:t>
      </w:r>
    </w:p>
    <w:p w:rsidR="009E7FE1" w:rsidRDefault="009E7FE1" w:rsidP="009E7FE1">
      <w:pPr>
        <w:pStyle w:val="Paragraphedeliste"/>
        <w:numPr>
          <w:ilvl w:val="1"/>
          <w:numId w:val="3"/>
        </w:numPr>
        <w:jc w:val="both"/>
        <w:rPr>
          <w:rFonts w:ascii="Arial" w:hAnsi="Arial" w:cs="Arial"/>
          <w:b/>
          <w:szCs w:val="20"/>
        </w:rPr>
      </w:pPr>
      <w:r w:rsidRPr="009E7FE1">
        <w:rPr>
          <w:rFonts w:ascii="Arial" w:hAnsi="Arial" w:cs="Arial"/>
          <w:b/>
          <w:szCs w:val="20"/>
        </w:rPr>
        <w:t>Le FSE+</w:t>
      </w:r>
    </w:p>
    <w:p w:rsidR="009E7FE1" w:rsidRDefault="009E7FE1" w:rsidP="009E7FE1">
      <w:pPr>
        <w:jc w:val="both"/>
        <w:rPr>
          <w:rFonts w:ascii="Arial" w:hAnsi="Arial" w:cs="Arial"/>
          <w:sz w:val="20"/>
          <w:szCs w:val="20"/>
        </w:rPr>
      </w:pPr>
      <w:r w:rsidRPr="009E7FE1">
        <w:rPr>
          <w:rFonts w:ascii="Arial" w:hAnsi="Arial" w:cs="Arial"/>
          <w:sz w:val="20"/>
          <w:szCs w:val="20"/>
        </w:rPr>
        <w:t>Le deuxième fond lié à l’intégrat</w:t>
      </w:r>
      <w:r w:rsidR="00A102A3">
        <w:rPr>
          <w:rFonts w:ascii="Arial" w:hAnsi="Arial" w:cs="Arial"/>
          <w:sz w:val="20"/>
          <w:szCs w:val="20"/>
        </w:rPr>
        <w:t xml:space="preserve">ion est le Fond social européen+, même si ce transfert du volet intégration du FAMI vers le FSE+ n’est pas spécifiquement mentionné dans la proposition de la Commission. Il est cependant </w:t>
      </w:r>
      <w:r w:rsidR="00D17EA4">
        <w:rPr>
          <w:rFonts w:ascii="Arial" w:hAnsi="Arial" w:cs="Arial"/>
          <w:sz w:val="20"/>
          <w:szCs w:val="20"/>
        </w:rPr>
        <w:t xml:space="preserve">noté dans l’introduction du règlement que compte tenu de l’intensification des efforts consacrés à la gestion des flux migratoires, le FSE+ devrait soutenir la promotion de l’intégration socio-économique des ressortissants de pays tiers, en complément des actions financées au titre du FAM. </w:t>
      </w:r>
    </w:p>
    <w:p w:rsidR="009645AB" w:rsidRDefault="009645AB" w:rsidP="009E7FE1">
      <w:pPr>
        <w:jc w:val="both"/>
        <w:rPr>
          <w:rFonts w:ascii="Arial" w:hAnsi="Arial" w:cs="Arial"/>
          <w:sz w:val="20"/>
          <w:szCs w:val="20"/>
        </w:rPr>
      </w:pPr>
      <w:r>
        <w:rPr>
          <w:rFonts w:ascii="Arial" w:hAnsi="Arial" w:cs="Arial"/>
          <w:sz w:val="20"/>
          <w:szCs w:val="20"/>
        </w:rPr>
        <w:t xml:space="preserve">L’enveloppe financière totale du FSE+ est de 101,174 milliards d’euros. </w:t>
      </w:r>
    </w:p>
    <w:p w:rsidR="00D17EA4" w:rsidRDefault="00D17EA4" w:rsidP="009E7FE1">
      <w:pPr>
        <w:jc w:val="both"/>
        <w:rPr>
          <w:rFonts w:ascii="Arial" w:hAnsi="Arial" w:cs="Arial"/>
          <w:sz w:val="20"/>
          <w:szCs w:val="20"/>
        </w:rPr>
      </w:pPr>
      <w:r>
        <w:rPr>
          <w:rFonts w:ascii="Arial" w:hAnsi="Arial" w:cs="Arial"/>
          <w:sz w:val="20"/>
          <w:szCs w:val="20"/>
        </w:rPr>
        <w:t xml:space="preserve">Le FSE+ soutient des objectifs spécifiques dans les domaines de l’emploi, de l’éducation, de l’inclusion sociale et de la santé, et notamment les suivants : </w:t>
      </w:r>
    </w:p>
    <w:p w:rsidR="00FF3C8A" w:rsidRPr="00FF3C8A" w:rsidRDefault="00FF3C8A" w:rsidP="00FF3C8A">
      <w:pPr>
        <w:ind w:left="708"/>
        <w:jc w:val="both"/>
        <w:rPr>
          <w:rFonts w:ascii="Arial" w:hAnsi="Arial" w:cs="Arial"/>
          <w:sz w:val="20"/>
          <w:szCs w:val="20"/>
        </w:rPr>
      </w:pPr>
      <w:r w:rsidRPr="00FF3C8A">
        <w:rPr>
          <w:rFonts w:ascii="Arial" w:hAnsi="Arial" w:cs="Arial"/>
          <w:sz w:val="20"/>
          <w:szCs w:val="20"/>
        </w:rPr>
        <w:t>vii) favoriser l’inclusion active afin de promouvoir l'égalité des chances et la participation active, et améliorer l’aptitude à occuper un emploi;</w:t>
      </w:r>
    </w:p>
    <w:p w:rsidR="00FF3C8A" w:rsidRPr="00FF3C8A" w:rsidRDefault="00FF3C8A" w:rsidP="00FF3C8A">
      <w:pPr>
        <w:ind w:left="708"/>
        <w:jc w:val="both"/>
        <w:rPr>
          <w:rFonts w:ascii="Arial" w:hAnsi="Arial" w:cs="Arial"/>
          <w:sz w:val="20"/>
          <w:szCs w:val="20"/>
        </w:rPr>
      </w:pPr>
      <w:r w:rsidRPr="00FF3C8A">
        <w:rPr>
          <w:rFonts w:ascii="Arial" w:hAnsi="Arial" w:cs="Arial"/>
          <w:sz w:val="20"/>
          <w:szCs w:val="20"/>
        </w:rPr>
        <w:t xml:space="preserve">viii) promouvoir l’intégration socio-économique des </w:t>
      </w:r>
      <w:r w:rsidRPr="009645AB">
        <w:rPr>
          <w:rFonts w:ascii="Arial" w:hAnsi="Arial" w:cs="Arial"/>
          <w:sz w:val="20"/>
          <w:szCs w:val="20"/>
          <w:u w:val="single"/>
        </w:rPr>
        <w:t>ressortissants de pays tiers</w:t>
      </w:r>
      <w:r w:rsidRPr="00FF3C8A">
        <w:rPr>
          <w:rFonts w:ascii="Arial" w:hAnsi="Arial" w:cs="Arial"/>
          <w:sz w:val="20"/>
          <w:szCs w:val="20"/>
        </w:rPr>
        <w:t xml:space="preserve"> et des </w:t>
      </w:r>
      <w:r w:rsidRPr="009645AB">
        <w:rPr>
          <w:rFonts w:ascii="Arial" w:hAnsi="Arial" w:cs="Arial"/>
          <w:sz w:val="20"/>
          <w:szCs w:val="20"/>
          <w:u w:val="single"/>
        </w:rPr>
        <w:t xml:space="preserve">communautés marginalisées </w:t>
      </w:r>
      <w:r w:rsidRPr="00FF3C8A">
        <w:rPr>
          <w:rFonts w:ascii="Arial" w:hAnsi="Arial" w:cs="Arial"/>
          <w:sz w:val="20"/>
          <w:szCs w:val="20"/>
        </w:rPr>
        <w:t xml:space="preserve">telles que les </w:t>
      </w:r>
      <w:proofErr w:type="spellStart"/>
      <w:r w:rsidRPr="00FF3C8A">
        <w:rPr>
          <w:rFonts w:ascii="Arial" w:hAnsi="Arial" w:cs="Arial"/>
          <w:sz w:val="20"/>
          <w:szCs w:val="20"/>
        </w:rPr>
        <w:t>Roms</w:t>
      </w:r>
      <w:proofErr w:type="spellEnd"/>
      <w:r w:rsidRPr="00FF3C8A">
        <w:rPr>
          <w:rFonts w:ascii="Arial" w:hAnsi="Arial" w:cs="Arial"/>
          <w:sz w:val="20"/>
          <w:szCs w:val="20"/>
        </w:rPr>
        <w:t xml:space="preserve">; </w:t>
      </w:r>
    </w:p>
    <w:p w:rsidR="00FF3C8A" w:rsidRPr="00FF3C8A" w:rsidRDefault="00FF3C8A" w:rsidP="00FF3C8A">
      <w:pPr>
        <w:ind w:left="708"/>
        <w:jc w:val="both"/>
        <w:rPr>
          <w:rFonts w:ascii="Arial" w:hAnsi="Arial" w:cs="Arial"/>
          <w:sz w:val="20"/>
          <w:szCs w:val="20"/>
        </w:rPr>
      </w:pPr>
      <w:r w:rsidRPr="00FF3C8A">
        <w:rPr>
          <w:rFonts w:ascii="Arial" w:hAnsi="Arial" w:cs="Arial"/>
          <w:sz w:val="20"/>
          <w:szCs w:val="20"/>
        </w:rPr>
        <w:t xml:space="preserve">ix) améliorer l’égalité d’accès en temps utile à des services abordables, durables et de qualité; moderniser les systèmes de protection sociale, y compris en promouvant l’accès à la protection sociale; améliorer l’accessibilité, l’efficacité et la résilience des systèmes de soins de santé et des services de soins de longue durée; </w:t>
      </w:r>
    </w:p>
    <w:p w:rsidR="00FF3C8A" w:rsidRPr="00FF3C8A" w:rsidRDefault="00FF3C8A" w:rsidP="00FF3C8A">
      <w:pPr>
        <w:ind w:left="708"/>
        <w:jc w:val="both"/>
        <w:rPr>
          <w:rFonts w:ascii="Arial" w:hAnsi="Arial" w:cs="Arial"/>
          <w:sz w:val="20"/>
          <w:szCs w:val="20"/>
        </w:rPr>
      </w:pPr>
      <w:r w:rsidRPr="00FF3C8A">
        <w:rPr>
          <w:rFonts w:ascii="Arial" w:hAnsi="Arial" w:cs="Arial"/>
          <w:sz w:val="20"/>
          <w:szCs w:val="20"/>
        </w:rPr>
        <w:t xml:space="preserve">x) promouvoir l’intégration sociale des personnes exposées au risque de pauvreté ou d’exclusion sociale, y compris les plus démunis et les enfants; </w:t>
      </w:r>
    </w:p>
    <w:p w:rsidR="00FF3C8A" w:rsidRPr="00FF3C8A" w:rsidRDefault="00FF3C8A" w:rsidP="00FF3C8A">
      <w:pPr>
        <w:ind w:left="708"/>
        <w:jc w:val="both"/>
        <w:rPr>
          <w:rFonts w:ascii="Arial" w:hAnsi="Arial" w:cs="Arial"/>
          <w:sz w:val="20"/>
          <w:szCs w:val="20"/>
        </w:rPr>
      </w:pPr>
      <w:r w:rsidRPr="00FF3C8A">
        <w:rPr>
          <w:rFonts w:ascii="Arial" w:hAnsi="Arial" w:cs="Arial"/>
          <w:sz w:val="20"/>
          <w:szCs w:val="20"/>
        </w:rPr>
        <w:t>xi) lutter contre la privation matérielle en apportant une aide alimentaire et/ou une assistance matérielle aux personnes les plus démunies, y compris en prenant des mesures d’accompagnement.</w:t>
      </w:r>
    </w:p>
    <w:p w:rsidR="009645AB" w:rsidRDefault="009645AB" w:rsidP="00FF3C8A">
      <w:pPr>
        <w:jc w:val="both"/>
        <w:rPr>
          <w:rFonts w:ascii="Arial" w:hAnsi="Arial" w:cs="Arial"/>
          <w:sz w:val="20"/>
          <w:szCs w:val="20"/>
        </w:rPr>
      </w:pPr>
      <w:r>
        <w:rPr>
          <w:rFonts w:ascii="Arial" w:hAnsi="Arial" w:cs="Arial"/>
          <w:sz w:val="20"/>
          <w:szCs w:val="20"/>
        </w:rPr>
        <w:t xml:space="preserve">Il n’est pas fait mention des termes « migrants » ou « demandeurs d’asile » ou « réfugiés » dans le FSE+. </w:t>
      </w:r>
    </w:p>
    <w:p w:rsidR="009645AB" w:rsidRPr="009645AB" w:rsidRDefault="009645AB" w:rsidP="009645AB">
      <w:pPr>
        <w:ind w:firstLine="708"/>
        <w:jc w:val="both"/>
        <w:rPr>
          <w:rFonts w:ascii="Arial" w:hAnsi="Arial" w:cs="Arial"/>
          <w:i/>
          <w:sz w:val="20"/>
          <w:szCs w:val="20"/>
          <w:u w:val="single"/>
        </w:rPr>
      </w:pPr>
      <w:r w:rsidRPr="009645AB">
        <w:rPr>
          <w:rFonts w:ascii="Arial" w:hAnsi="Arial" w:cs="Arial"/>
          <w:i/>
          <w:sz w:val="20"/>
          <w:szCs w:val="20"/>
          <w:u w:val="single"/>
        </w:rPr>
        <w:t>Répartition des fonds</w:t>
      </w:r>
    </w:p>
    <w:p w:rsidR="00FF3C8A" w:rsidRPr="00FF3C8A" w:rsidRDefault="00FF3C8A" w:rsidP="00FF3C8A">
      <w:pPr>
        <w:jc w:val="both"/>
        <w:rPr>
          <w:rFonts w:ascii="Arial" w:hAnsi="Arial" w:cs="Arial"/>
          <w:sz w:val="20"/>
          <w:szCs w:val="20"/>
        </w:rPr>
      </w:pPr>
      <w:r w:rsidRPr="00FF3C8A">
        <w:rPr>
          <w:rFonts w:ascii="Arial" w:hAnsi="Arial" w:cs="Arial"/>
          <w:sz w:val="20"/>
          <w:szCs w:val="20"/>
        </w:rPr>
        <w:t xml:space="preserve">Les États membres affectent au moins 25 % de leurs ressources FSE+ relevant de la gestion partagée aux objectifs spécifiques dans le domaine de l’inclusion sociale énoncés à l’article 4, paragraphe 1, points vii) à xi), y compris la promotion de l’intégration socio-économique des ressortissants de pays tiers. </w:t>
      </w:r>
    </w:p>
    <w:p w:rsidR="00FF3C8A" w:rsidRPr="009E7FE1" w:rsidRDefault="00FF3C8A" w:rsidP="00FF3C8A">
      <w:pPr>
        <w:jc w:val="both"/>
        <w:rPr>
          <w:rFonts w:ascii="Arial" w:hAnsi="Arial" w:cs="Arial"/>
          <w:sz w:val="20"/>
          <w:szCs w:val="20"/>
        </w:rPr>
      </w:pPr>
      <w:r w:rsidRPr="00FF3C8A">
        <w:rPr>
          <w:rFonts w:ascii="Arial" w:hAnsi="Arial" w:cs="Arial"/>
          <w:sz w:val="20"/>
          <w:szCs w:val="20"/>
        </w:rPr>
        <w:t>Les États membres affectent au moins 2 % de leurs ressources FSE+ relevant de la gestion partagée à l’objectif spécifique de lutte contre la privation matérielle énoncé à l’article 4, paragraphe 1, point xi).</w:t>
      </w:r>
    </w:p>
    <w:p w:rsidR="009E7FE1" w:rsidRPr="009E7FE1" w:rsidRDefault="009E7FE1" w:rsidP="009E7FE1">
      <w:pPr>
        <w:pStyle w:val="Default"/>
        <w:rPr>
          <w:sz w:val="23"/>
          <w:szCs w:val="23"/>
        </w:rPr>
      </w:pPr>
    </w:p>
    <w:p w:rsidR="00FD011B" w:rsidRPr="00644679" w:rsidRDefault="004640CC" w:rsidP="00FD011B">
      <w:pPr>
        <w:jc w:val="both"/>
        <w:rPr>
          <w:rFonts w:ascii="Arial" w:hAnsi="Arial" w:cs="Arial"/>
          <w:b/>
          <w:szCs w:val="20"/>
        </w:rPr>
      </w:pPr>
      <w:r w:rsidRPr="00644679">
        <w:rPr>
          <w:rFonts w:ascii="Arial" w:hAnsi="Arial" w:cs="Arial"/>
          <w:b/>
          <w:szCs w:val="20"/>
        </w:rPr>
        <w:t>Prochaines étapes</w:t>
      </w:r>
    </w:p>
    <w:p w:rsidR="004640CC" w:rsidRPr="00644679" w:rsidRDefault="004640CC" w:rsidP="00FD011B">
      <w:pPr>
        <w:jc w:val="both"/>
        <w:rPr>
          <w:rFonts w:ascii="Arial" w:hAnsi="Arial" w:cs="Arial"/>
          <w:sz w:val="20"/>
          <w:szCs w:val="20"/>
        </w:rPr>
      </w:pPr>
      <w:r w:rsidRPr="00644679">
        <w:rPr>
          <w:rFonts w:ascii="Arial" w:hAnsi="Arial" w:cs="Arial"/>
          <w:sz w:val="20"/>
          <w:szCs w:val="20"/>
        </w:rPr>
        <w:t xml:space="preserve">La Commission souhaite trouver un accord rapide sur le budget, de préférence en 2019, afin d’assurer une transition avec l’actuel budget qui se clôture en 2020. </w:t>
      </w:r>
    </w:p>
    <w:p w:rsidR="008D55B9" w:rsidRDefault="004D6DF5" w:rsidP="00FD011B">
      <w:pPr>
        <w:jc w:val="both"/>
        <w:rPr>
          <w:rFonts w:ascii="Arial" w:hAnsi="Arial" w:cs="Arial"/>
          <w:sz w:val="20"/>
          <w:szCs w:val="20"/>
        </w:rPr>
      </w:pPr>
      <w:r w:rsidRPr="00644679">
        <w:rPr>
          <w:rFonts w:ascii="Arial" w:hAnsi="Arial" w:cs="Arial"/>
          <w:sz w:val="20"/>
          <w:szCs w:val="20"/>
        </w:rPr>
        <w:t xml:space="preserve">Le Parlement européen et le Conseil de l’UE (regroupant les Etats membres) doivent amender la proposition de la Commission et trouver un accord politique pour adoption du nouveau cadre financier. </w:t>
      </w:r>
    </w:p>
    <w:p w:rsidR="00E344FC" w:rsidRPr="00644679" w:rsidRDefault="00E344FC" w:rsidP="00FD011B">
      <w:pPr>
        <w:jc w:val="both"/>
        <w:rPr>
          <w:rFonts w:ascii="Arial" w:hAnsi="Arial" w:cs="Arial"/>
          <w:sz w:val="20"/>
          <w:szCs w:val="20"/>
        </w:rPr>
      </w:pPr>
    </w:p>
    <w:p w:rsidR="004640CC" w:rsidRDefault="004640CC" w:rsidP="00FD011B">
      <w:pPr>
        <w:jc w:val="both"/>
        <w:rPr>
          <w:rFonts w:ascii="Arial" w:hAnsi="Arial" w:cs="Arial"/>
          <w:b/>
          <w:szCs w:val="20"/>
        </w:rPr>
      </w:pPr>
      <w:r w:rsidRPr="00644679">
        <w:rPr>
          <w:rFonts w:ascii="Arial" w:hAnsi="Arial" w:cs="Arial"/>
          <w:b/>
          <w:szCs w:val="20"/>
        </w:rPr>
        <w:lastRenderedPageBreak/>
        <w:t>Pour en savoir plus</w:t>
      </w:r>
    </w:p>
    <w:p w:rsidR="00E344FC" w:rsidRDefault="00FE3914" w:rsidP="00FD011B">
      <w:pPr>
        <w:jc w:val="both"/>
        <w:rPr>
          <w:rFonts w:ascii="Arial" w:hAnsi="Arial" w:cs="Arial"/>
          <w:sz w:val="20"/>
          <w:szCs w:val="20"/>
        </w:rPr>
      </w:pPr>
      <w:hyperlink r:id="rId11" w:history="1">
        <w:r w:rsidR="00E344FC" w:rsidRPr="00E344FC">
          <w:rPr>
            <w:rStyle w:val="Lienhypertexte"/>
            <w:rFonts w:ascii="Arial" w:hAnsi="Arial" w:cs="Arial"/>
            <w:sz w:val="20"/>
            <w:szCs w:val="20"/>
          </w:rPr>
          <w:t>Site de la Commission européenne sur le budget multi annuel de l’UE</w:t>
        </w:r>
      </w:hyperlink>
    </w:p>
    <w:p w:rsidR="00E344FC" w:rsidRDefault="00FE3914" w:rsidP="00FD011B">
      <w:pPr>
        <w:jc w:val="both"/>
        <w:rPr>
          <w:rFonts w:ascii="Arial" w:hAnsi="Arial" w:cs="Arial"/>
          <w:sz w:val="20"/>
          <w:szCs w:val="20"/>
        </w:rPr>
      </w:pPr>
      <w:hyperlink r:id="rId12" w:history="1">
        <w:r w:rsidR="00E344FC" w:rsidRPr="00E344FC">
          <w:rPr>
            <w:rStyle w:val="Lienhypertexte"/>
            <w:rFonts w:ascii="Arial" w:hAnsi="Arial" w:cs="Arial"/>
            <w:sz w:val="20"/>
            <w:szCs w:val="20"/>
          </w:rPr>
          <w:t>Fiche de synthèse sur le budget multi annuel de l’UE</w:t>
        </w:r>
      </w:hyperlink>
    </w:p>
    <w:p w:rsidR="00E344FC" w:rsidRPr="00E344FC" w:rsidRDefault="00E344FC" w:rsidP="00FD011B">
      <w:pPr>
        <w:jc w:val="both"/>
        <w:rPr>
          <w:rFonts w:ascii="Arial" w:hAnsi="Arial" w:cs="Arial"/>
          <w:sz w:val="20"/>
          <w:szCs w:val="20"/>
        </w:rPr>
      </w:pPr>
    </w:p>
    <w:p w:rsidR="009645AB" w:rsidRPr="009645AB" w:rsidRDefault="009645AB" w:rsidP="00FD011B">
      <w:pPr>
        <w:jc w:val="both"/>
        <w:rPr>
          <w:rStyle w:val="Lienhypertexte"/>
          <w:rFonts w:ascii="Arial" w:hAnsi="Arial" w:cs="Arial"/>
          <w:color w:val="000000" w:themeColor="text1"/>
          <w:sz w:val="20"/>
          <w:szCs w:val="20"/>
        </w:rPr>
      </w:pPr>
      <w:r w:rsidRPr="009645AB">
        <w:rPr>
          <w:rStyle w:val="Lienhypertexte"/>
          <w:rFonts w:ascii="Arial" w:hAnsi="Arial" w:cs="Arial"/>
          <w:color w:val="000000" w:themeColor="text1"/>
          <w:sz w:val="20"/>
          <w:szCs w:val="20"/>
        </w:rPr>
        <w:t>Le Fonds « Asile et Migration » et gestion des frontières :</w:t>
      </w:r>
    </w:p>
    <w:p w:rsidR="00E344FC" w:rsidRDefault="00FE3914" w:rsidP="00FD011B">
      <w:pPr>
        <w:jc w:val="both"/>
        <w:rPr>
          <w:rStyle w:val="Lienhypertexte"/>
          <w:rFonts w:ascii="Arial" w:hAnsi="Arial" w:cs="Arial"/>
          <w:sz w:val="20"/>
          <w:szCs w:val="20"/>
        </w:rPr>
      </w:pPr>
      <w:hyperlink r:id="rId13" w:history="1">
        <w:r w:rsidR="00E344FC" w:rsidRPr="00E344FC">
          <w:rPr>
            <w:rStyle w:val="Lienhypertexte"/>
            <w:rFonts w:ascii="Arial" w:hAnsi="Arial" w:cs="Arial"/>
            <w:sz w:val="20"/>
            <w:szCs w:val="20"/>
          </w:rPr>
          <w:t>Communiqué de presse</w:t>
        </w:r>
      </w:hyperlink>
    </w:p>
    <w:p w:rsidR="004640CC" w:rsidRPr="00644679" w:rsidRDefault="00FE3914" w:rsidP="00FD011B">
      <w:pPr>
        <w:jc w:val="both"/>
        <w:rPr>
          <w:rFonts w:ascii="Arial" w:hAnsi="Arial" w:cs="Arial"/>
          <w:sz w:val="20"/>
          <w:szCs w:val="20"/>
        </w:rPr>
      </w:pPr>
      <w:hyperlink r:id="rId14" w:history="1">
        <w:r w:rsidR="000D1AF0" w:rsidRPr="00644679">
          <w:rPr>
            <w:rStyle w:val="Lienhypertexte"/>
            <w:rFonts w:ascii="Arial" w:hAnsi="Arial" w:cs="Arial"/>
            <w:sz w:val="20"/>
            <w:szCs w:val="20"/>
          </w:rPr>
          <w:t>Questions/réponses sur les financements de l’UE pour la gestion des frontières et des migrations </w:t>
        </w:r>
      </w:hyperlink>
    </w:p>
    <w:p w:rsidR="000D1AF0" w:rsidRPr="00644679" w:rsidRDefault="000D1AF0" w:rsidP="00FD011B">
      <w:pPr>
        <w:jc w:val="both"/>
        <w:rPr>
          <w:rFonts w:ascii="Arial" w:hAnsi="Arial" w:cs="Arial"/>
          <w:sz w:val="20"/>
          <w:szCs w:val="20"/>
        </w:rPr>
      </w:pPr>
      <w:r w:rsidRPr="00644679">
        <w:rPr>
          <w:rFonts w:ascii="Arial" w:hAnsi="Arial" w:cs="Arial"/>
          <w:sz w:val="20"/>
          <w:szCs w:val="20"/>
        </w:rPr>
        <w:t xml:space="preserve">Fiche synthèse sur le </w:t>
      </w:r>
      <w:hyperlink r:id="rId15" w:history="1">
        <w:r w:rsidRPr="00644679">
          <w:rPr>
            <w:rStyle w:val="Lienhypertexte"/>
            <w:rFonts w:ascii="Arial" w:hAnsi="Arial" w:cs="Arial"/>
            <w:sz w:val="20"/>
            <w:szCs w:val="20"/>
          </w:rPr>
          <w:t>fonds migration</w:t>
        </w:r>
      </w:hyperlink>
      <w:r w:rsidRPr="00644679">
        <w:rPr>
          <w:rFonts w:ascii="Arial" w:hAnsi="Arial" w:cs="Arial"/>
          <w:sz w:val="20"/>
          <w:szCs w:val="20"/>
        </w:rPr>
        <w:t xml:space="preserve"> et </w:t>
      </w:r>
      <w:hyperlink r:id="rId16" w:history="1">
        <w:r w:rsidRPr="00644679">
          <w:rPr>
            <w:rStyle w:val="Lienhypertexte"/>
            <w:rFonts w:ascii="Arial" w:hAnsi="Arial" w:cs="Arial"/>
            <w:sz w:val="20"/>
            <w:szCs w:val="20"/>
          </w:rPr>
          <w:t>frontières</w:t>
        </w:r>
      </w:hyperlink>
    </w:p>
    <w:p w:rsidR="008D55B9" w:rsidRPr="00644679" w:rsidRDefault="00FE3914" w:rsidP="00FD011B">
      <w:pPr>
        <w:jc w:val="both"/>
        <w:rPr>
          <w:rFonts w:ascii="Arial" w:hAnsi="Arial" w:cs="Arial"/>
          <w:sz w:val="20"/>
          <w:szCs w:val="20"/>
        </w:rPr>
      </w:pPr>
      <w:hyperlink r:id="rId17" w:history="1">
        <w:r w:rsidR="000D1AF0" w:rsidRPr="00644679">
          <w:rPr>
            <w:rStyle w:val="Lienhypertexte"/>
            <w:rFonts w:ascii="Arial" w:hAnsi="Arial" w:cs="Arial"/>
            <w:sz w:val="20"/>
            <w:szCs w:val="20"/>
          </w:rPr>
          <w:t>Proposition de règlement pour le Fonds FAM</w:t>
        </w:r>
      </w:hyperlink>
      <w:r w:rsidR="000D1AF0" w:rsidRPr="00644679">
        <w:rPr>
          <w:rFonts w:ascii="Arial" w:hAnsi="Arial" w:cs="Arial"/>
          <w:sz w:val="20"/>
          <w:szCs w:val="20"/>
        </w:rPr>
        <w:t xml:space="preserve"> et les </w:t>
      </w:r>
      <w:hyperlink r:id="rId18" w:history="1">
        <w:r w:rsidR="000D1AF0" w:rsidRPr="00644679">
          <w:rPr>
            <w:rStyle w:val="Lienhypertexte"/>
            <w:rFonts w:ascii="Arial" w:hAnsi="Arial" w:cs="Arial"/>
            <w:sz w:val="20"/>
            <w:szCs w:val="20"/>
          </w:rPr>
          <w:t>annexes</w:t>
        </w:r>
      </w:hyperlink>
    </w:p>
    <w:p w:rsidR="00E344FC" w:rsidRDefault="00E344FC" w:rsidP="00FD011B">
      <w:pPr>
        <w:jc w:val="both"/>
        <w:rPr>
          <w:rFonts w:ascii="Arial" w:hAnsi="Arial" w:cs="Arial"/>
          <w:sz w:val="20"/>
          <w:szCs w:val="20"/>
        </w:rPr>
      </w:pPr>
    </w:p>
    <w:p w:rsidR="009645AB" w:rsidRPr="009645AB" w:rsidRDefault="009645AB" w:rsidP="00FD011B">
      <w:pPr>
        <w:jc w:val="both"/>
        <w:rPr>
          <w:rFonts w:ascii="Arial" w:hAnsi="Arial" w:cs="Arial"/>
          <w:sz w:val="20"/>
          <w:szCs w:val="20"/>
          <w:u w:val="single"/>
        </w:rPr>
      </w:pPr>
      <w:r w:rsidRPr="009645AB">
        <w:rPr>
          <w:rFonts w:ascii="Arial" w:hAnsi="Arial" w:cs="Arial"/>
          <w:sz w:val="20"/>
          <w:szCs w:val="20"/>
          <w:u w:val="single"/>
        </w:rPr>
        <w:t>Le Fonds Européen de Développement Régional :</w:t>
      </w:r>
    </w:p>
    <w:p w:rsidR="009645AB" w:rsidRDefault="00FE3914" w:rsidP="009645AB">
      <w:pPr>
        <w:tabs>
          <w:tab w:val="left" w:pos="3048"/>
        </w:tabs>
        <w:jc w:val="both"/>
        <w:rPr>
          <w:rFonts w:ascii="Arial" w:hAnsi="Arial" w:cs="Arial"/>
          <w:sz w:val="20"/>
          <w:szCs w:val="20"/>
        </w:rPr>
      </w:pPr>
      <w:hyperlink r:id="rId19" w:history="1">
        <w:r w:rsidR="009645AB" w:rsidRPr="009645AB">
          <w:rPr>
            <w:rStyle w:val="Lienhypertexte"/>
            <w:rFonts w:ascii="Arial" w:hAnsi="Arial" w:cs="Arial"/>
            <w:sz w:val="20"/>
            <w:szCs w:val="20"/>
          </w:rPr>
          <w:t>Communiqué de presse</w:t>
        </w:r>
      </w:hyperlink>
      <w:r w:rsidR="009645AB">
        <w:rPr>
          <w:rFonts w:ascii="Arial" w:hAnsi="Arial" w:cs="Arial"/>
          <w:sz w:val="20"/>
          <w:szCs w:val="20"/>
        </w:rPr>
        <w:tab/>
      </w:r>
    </w:p>
    <w:p w:rsidR="009645AB" w:rsidRDefault="00FE3914" w:rsidP="00FD011B">
      <w:pPr>
        <w:jc w:val="both"/>
        <w:rPr>
          <w:rFonts w:ascii="Arial" w:hAnsi="Arial" w:cs="Arial"/>
          <w:sz w:val="20"/>
          <w:szCs w:val="20"/>
        </w:rPr>
      </w:pPr>
      <w:hyperlink r:id="rId20" w:history="1">
        <w:r w:rsidR="009645AB" w:rsidRPr="009645AB">
          <w:rPr>
            <w:rStyle w:val="Lienhypertexte"/>
            <w:rFonts w:ascii="Arial" w:hAnsi="Arial" w:cs="Arial"/>
            <w:sz w:val="20"/>
            <w:szCs w:val="20"/>
          </w:rPr>
          <w:t xml:space="preserve">Questions/réponses sur le Fonds </w:t>
        </w:r>
        <w:r>
          <w:rPr>
            <w:rStyle w:val="Lienhypertexte"/>
            <w:rFonts w:ascii="Arial" w:hAnsi="Arial" w:cs="Arial"/>
            <w:sz w:val="20"/>
            <w:szCs w:val="20"/>
          </w:rPr>
          <w:t>FEDR</w:t>
        </w:r>
        <w:r w:rsidR="009645AB" w:rsidRPr="009645AB">
          <w:rPr>
            <w:rStyle w:val="Lienhypertexte"/>
            <w:rFonts w:ascii="Arial" w:hAnsi="Arial" w:cs="Arial"/>
            <w:sz w:val="20"/>
            <w:szCs w:val="20"/>
          </w:rPr>
          <w:t xml:space="preserve"> et la politique de cohésion</w:t>
        </w:r>
      </w:hyperlink>
    </w:p>
    <w:p w:rsidR="009645AB" w:rsidRDefault="00FE3914" w:rsidP="00FD011B">
      <w:pPr>
        <w:jc w:val="both"/>
        <w:rPr>
          <w:rFonts w:ascii="Arial" w:hAnsi="Arial" w:cs="Arial"/>
          <w:sz w:val="20"/>
          <w:szCs w:val="20"/>
        </w:rPr>
      </w:pPr>
      <w:hyperlink r:id="rId21" w:history="1">
        <w:r w:rsidR="00E344FC" w:rsidRPr="00E344FC">
          <w:rPr>
            <w:rStyle w:val="Lienhypertexte"/>
            <w:rFonts w:ascii="Arial" w:hAnsi="Arial" w:cs="Arial"/>
            <w:sz w:val="20"/>
            <w:szCs w:val="20"/>
          </w:rPr>
          <w:t xml:space="preserve">Proposition de règlement pour le fonds </w:t>
        </w:r>
        <w:r>
          <w:rPr>
            <w:rStyle w:val="Lienhypertexte"/>
            <w:rFonts w:ascii="Arial" w:hAnsi="Arial" w:cs="Arial"/>
            <w:sz w:val="20"/>
            <w:szCs w:val="20"/>
          </w:rPr>
          <w:t>FEDR</w:t>
        </w:r>
        <w:r w:rsidR="00E344FC" w:rsidRPr="00E344FC">
          <w:rPr>
            <w:rStyle w:val="Lienhypertexte"/>
            <w:rFonts w:ascii="Arial" w:hAnsi="Arial" w:cs="Arial"/>
            <w:sz w:val="20"/>
            <w:szCs w:val="20"/>
          </w:rPr>
          <w:t xml:space="preserve"> et Fonds de cohésion</w:t>
        </w:r>
      </w:hyperlink>
      <w:r w:rsidR="00E344FC">
        <w:rPr>
          <w:rFonts w:ascii="Arial" w:hAnsi="Arial" w:cs="Arial"/>
          <w:sz w:val="20"/>
          <w:szCs w:val="20"/>
        </w:rPr>
        <w:t xml:space="preserve"> incluant les annexes</w:t>
      </w:r>
    </w:p>
    <w:p w:rsidR="00E344FC" w:rsidRDefault="00FE3914" w:rsidP="00FD011B">
      <w:pPr>
        <w:jc w:val="both"/>
        <w:rPr>
          <w:rFonts w:ascii="Arial" w:hAnsi="Arial" w:cs="Arial"/>
          <w:sz w:val="20"/>
          <w:szCs w:val="20"/>
        </w:rPr>
      </w:pPr>
      <w:hyperlink r:id="rId22" w:history="1">
        <w:r w:rsidR="00E344FC" w:rsidRPr="00E344FC">
          <w:rPr>
            <w:rStyle w:val="Lienhypertexte"/>
            <w:rFonts w:ascii="Arial" w:hAnsi="Arial" w:cs="Arial"/>
            <w:sz w:val="20"/>
            <w:szCs w:val="20"/>
          </w:rPr>
          <w:t xml:space="preserve">Fiche synthèse sur le </w:t>
        </w:r>
        <w:r>
          <w:rPr>
            <w:rStyle w:val="Lienhypertexte"/>
            <w:rFonts w:ascii="Arial" w:hAnsi="Arial" w:cs="Arial"/>
            <w:sz w:val="20"/>
            <w:szCs w:val="20"/>
          </w:rPr>
          <w:t>FEDR</w:t>
        </w:r>
      </w:hyperlink>
      <w:r w:rsidR="00E344FC">
        <w:rPr>
          <w:rFonts w:ascii="Arial" w:hAnsi="Arial" w:cs="Arial"/>
          <w:sz w:val="20"/>
          <w:szCs w:val="20"/>
        </w:rPr>
        <w:t xml:space="preserve">, </w:t>
      </w:r>
      <w:hyperlink r:id="rId23" w:history="1">
        <w:r w:rsidR="00E344FC" w:rsidRPr="00E344FC">
          <w:rPr>
            <w:rStyle w:val="Lienhypertexte"/>
            <w:rFonts w:ascii="Arial" w:hAnsi="Arial" w:cs="Arial"/>
            <w:sz w:val="20"/>
            <w:szCs w:val="20"/>
          </w:rPr>
          <w:t>Fiche</w:t>
        </w:r>
        <w:r w:rsidR="00E344FC">
          <w:rPr>
            <w:rStyle w:val="Lienhypertexte"/>
            <w:rFonts w:ascii="Arial" w:hAnsi="Arial" w:cs="Arial"/>
            <w:sz w:val="20"/>
            <w:szCs w:val="20"/>
          </w:rPr>
          <w:t xml:space="preserve"> de synthèse</w:t>
        </w:r>
        <w:r w:rsidR="00E344FC" w:rsidRPr="00E344FC">
          <w:rPr>
            <w:rStyle w:val="Lienhypertexte"/>
            <w:rFonts w:ascii="Arial" w:hAnsi="Arial" w:cs="Arial"/>
            <w:sz w:val="20"/>
            <w:szCs w:val="20"/>
          </w:rPr>
          <w:t xml:space="preserve"> 2</w:t>
        </w:r>
      </w:hyperlink>
    </w:p>
    <w:p w:rsidR="00E344FC" w:rsidRDefault="00E344FC" w:rsidP="00FD011B">
      <w:pPr>
        <w:jc w:val="both"/>
        <w:rPr>
          <w:rFonts w:ascii="Arial" w:hAnsi="Arial" w:cs="Arial"/>
          <w:sz w:val="20"/>
          <w:szCs w:val="20"/>
        </w:rPr>
      </w:pPr>
    </w:p>
    <w:p w:rsidR="009645AB" w:rsidRDefault="009645AB" w:rsidP="00FD011B">
      <w:pPr>
        <w:jc w:val="both"/>
        <w:rPr>
          <w:rFonts w:ascii="Arial" w:hAnsi="Arial" w:cs="Arial"/>
          <w:sz w:val="20"/>
          <w:szCs w:val="20"/>
          <w:u w:val="single"/>
        </w:rPr>
      </w:pPr>
      <w:r w:rsidRPr="009645AB">
        <w:rPr>
          <w:rFonts w:ascii="Arial" w:hAnsi="Arial" w:cs="Arial"/>
          <w:sz w:val="20"/>
          <w:szCs w:val="20"/>
          <w:u w:val="single"/>
        </w:rPr>
        <w:t>Le Fonds Social Européen + :</w:t>
      </w:r>
    </w:p>
    <w:p w:rsidR="009645AB" w:rsidRDefault="00FE3914" w:rsidP="00FD011B">
      <w:pPr>
        <w:jc w:val="both"/>
        <w:rPr>
          <w:rFonts w:ascii="Arial" w:hAnsi="Arial" w:cs="Arial"/>
          <w:sz w:val="20"/>
          <w:szCs w:val="20"/>
        </w:rPr>
      </w:pPr>
      <w:hyperlink r:id="rId24" w:history="1">
        <w:r w:rsidR="009645AB" w:rsidRPr="009645AB">
          <w:rPr>
            <w:rStyle w:val="Lienhypertexte"/>
            <w:rFonts w:ascii="Arial" w:hAnsi="Arial" w:cs="Arial"/>
            <w:sz w:val="20"/>
            <w:szCs w:val="20"/>
          </w:rPr>
          <w:t>Communiqué de presse</w:t>
        </w:r>
      </w:hyperlink>
    </w:p>
    <w:p w:rsidR="009645AB" w:rsidRDefault="00FE3914" w:rsidP="00FD011B">
      <w:pPr>
        <w:jc w:val="both"/>
        <w:rPr>
          <w:rFonts w:ascii="Arial" w:hAnsi="Arial" w:cs="Arial"/>
          <w:sz w:val="20"/>
          <w:szCs w:val="20"/>
        </w:rPr>
      </w:pPr>
      <w:hyperlink r:id="rId25" w:history="1">
        <w:r w:rsidR="00E344FC" w:rsidRPr="00E344FC">
          <w:rPr>
            <w:rStyle w:val="Lienhypertexte"/>
            <w:rFonts w:ascii="Arial" w:hAnsi="Arial" w:cs="Arial"/>
            <w:sz w:val="20"/>
            <w:szCs w:val="20"/>
          </w:rPr>
          <w:t>Questions/réponses sur le FSE+</w:t>
        </w:r>
      </w:hyperlink>
    </w:p>
    <w:p w:rsidR="00E344FC" w:rsidRDefault="00FE3914" w:rsidP="00FD011B">
      <w:pPr>
        <w:jc w:val="both"/>
        <w:rPr>
          <w:rFonts w:ascii="Arial" w:hAnsi="Arial" w:cs="Arial"/>
          <w:sz w:val="20"/>
          <w:szCs w:val="20"/>
        </w:rPr>
      </w:pPr>
      <w:hyperlink r:id="rId26" w:history="1">
        <w:r w:rsidR="00E344FC" w:rsidRPr="00E344FC">
          <w:rPr>
            <w:rStyle w:val="Lienhypertexte"/>
            <w:rFonts w:ascii="Arial" w:hAnsi="Arial" w:cs="Arial"/>
            <w:sz w:val="20"/>
            <w:szCs w:val="20"/>
          </w:rPr>
          <w:t>Proposition de règlement pour le Fonds FSE+</w:t>
        </w:r>
      </w:hyperlink>
      <w:r w:rsidR="00E344FC">
        <w:rPr>
          <w:rFonts w:ascii="Arial" w:hAnsi="Arial" w:cs="Arial"/>
          <w:sz w:val="20"/>
          <w:szCs w:val="20"/>
        </w:rPr>
        <w:t xml:space="preserve"> et </w:t>
      </w:r>
      <w:hyperlink r:id="rId27" w:history="1">
        <w:r w:rsidR="00E344FC" w:rsidRPr="00E344FC">
          <w:rPr>
            <w:rStyle w:val="Lienhypertexte"/>
            <w:rFonts w:ascii="Arial" w:hAnsi="Arial" w:cs="Arial"/>
            <w:sz w:val="20"/>
            <w:szCs w:val="20"/>
          </w:rPr>
          <w:t>annexes</w:t>
        </w:r>
      </w:hyperlink>
    </w:p>
    <w:p w:rsidR="00E344FC" w:rsidRDefault="00FE3914" w:rsidP="00FD011B">
      <w:pPr>
        <w:jc w:val="both"/>
        <w:rPr>
          <w:rFonts w:ascii="Arial" w:hAnsi="Arial" w:cs="Arial"/>
          <w:sz w:val="20"/>
          <w:szCs w:val="20"/>
        </w:rPr>
      </w:pPr>
      <w:hyperlink r:id="rId28" w:history="1">
        <w:r w:rsidR="00E344FC" w:rsidRPr="00E344FC">
          <w:rPr>
            <w:rStyle w:val="Lienhypertexte"/>
            <w:rFonts w:ascii="Arial" w:hAnsi="Arial" w:cs="Arial"/>
            <w:sz w:val="20"/>
            <w:szCs w:val="20"/>
          </w:rPr>
          <w:t>Fiche de synthèse sur le FSE+ </w:t>
        </w:r>
      </w:hyperlink>
    </w:p>
    <w:p w:rsidR="00E344FC" w:rsidRPr="009645AB" w:rsidRDefault="00E344FC" w:rsidP="00FD011B">
      <w:pPr>
        <w:jc w:val="both"/>
        <w:rPr>
          <w:rFonts w:ascii="Arial" w:hAnsi="Arial" w:cs="Arial"/>
          <w:sz w:val="20"/>
          <w:szCs w:val="20"/>
        </w:rPr>
      </w:pPr>
    </w:p>
    <w:p w:rsidR="008F4DE5" w:rsidRPr="00D27C81" w:rsidRDefault="008F4DE5" w:rsidP="00D27C81">
      <w:pPr>
        <w:rPr>
          <w:rFonts w:ascii="Arial" w:hAnsi="Arial" w:cs="Arial"/>
          <w:b/>
          <w:sz w:val="24"/>
        </w:rPr>
      </w:pPr>
    </w:p>
    <w:sectPr w:rsidR="008F4DE5" w:rsidRPr="00D27C81">
      <w:headerReference w:type="default" r:id="rId29"/>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316" w:rsidRDefault="00AA4316" w:rsidP="00AA4316">
      <w:pPr>
        <w:spacing w:after="0" w:line="240" w:lineRule="auto"/>
      </w:pPr>
      <w:r>
        <w:separator/>
      </w:r>
    </w:p>
  </w:endnote>
  <w:endnote w:type="continuationSeparator" w:id="0">
    <w:p w:rsidR="00AA4316" w:rsidRDefault="00AA4316" w:rsidP="00AA4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2055991047"/>
      <w:docPartObj>
        <w:docPartGallery w:val="Page Numbers (Bottom of Page)"/>
        <w:docPartUnique/>
      </w:docPartObj>
    </w:sdtPr>
    <w:sdtEndPr/>
    <w:sdtContent>
      <w:p w:rsidR="00AA4316" w:rsidRPr="00AA4316" w:rsidRDefault="00AA4316" w:rsidP="00AA4316">
        <w:pPr>
          <w:pStyle w:val="Pieddepage"/>
          <w:rPr>
            <w:rFonts w:ascii="Arial" w:hAnsi="Arial" w:cs="Arial"/>
          </w:rPr>
        </w:pPr>
        <w:r w:rsidRPr="00AA4316">
          <w:rPr>
            <w:rFonts w:ascii="Arial" w:hAnsi="Arial" w:cs="Arial"/>
          </w:rPr>
          <w:t xml:space="preserve">Note de synthèse – Plaidoyer Europe Juin </w:t>
        </w:r>
        <w:r>
          <w:rPr>
            <w:rFonts w:ascii="Arial" w:hAnsi="Arial" w:cs="Arial"/>
          </w:rPr>
          <w:t>20</w:t>
        </w:r>
        <w:r w:rsidRPr="00AA4316">
          <w:rPr>
            <w:rFonts w:ascii="Arial" w:hAnsi="Arial" w:cs="Arial"/>
          </w:rPr>
          <w:t>18</w:t>
        </w:r>
        <w:r w:rsidRPr="00AA4316">
          <w:rPr>
            <w:rFonts w:ascii="Arial" w:hAnsi="Arial" w:cs="Arial"/>
          </w:rPr>
          <w:tab/>
        </w:r>
        <w:r w:rsidRPr="00AA4316">
          <w:rPr>
            <w:rFonts w:ascii="Arial" w:hAnsi="Arial" w:cs="Arial"/>
          </w:rPr>
          <w:fldChar w:fldCharType="begin"/>
        </w:r>
        <w:r w:rsidRPr="00AA4316">
          <w:rPr>
            <w:rFonts w:ascii="Arial" w:hAnsi="Arial" w:cs="Arial"/>
          </w:rPr>
          <w:instrText>PAGE   \* MERGEFORMAT</w:instrText>
        </w:r>
        <w:r w:rsidRPr="00AA4316">
          <w:rPr>
            <w:rFonts w:ascii="Arial" w:hAnsi="Arial" w:cs="Arial"/>
          </w:rPr>
          <w:fldChar w:fldCharType="separate"/>
        </w:r>
        <w:r w:rsidR="00FE3914">
          <w:rPr>
            <w:rFonts w:ascii="Arial" w:hAnsi="Arial" w:cs="Arial"/>
            <w:noProof/>
          </w:rPr>
          <w:t>4</w:t>
        </w:r>
        <w:r w:rsidRPr="00AA4316">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316" w:rsidRDefault="00AA4316" w:rsidP="00AA4316">
      <w:pPr>
        <w:spacing w:after="0" w:line="240" w:lineRule="auto"/>
      </w:pPr>
      <w:r>
        <w:separator/>
      </w:r>
    </w:p>
  </w:footnote>
  <w:footnote w:type="continuationSeparator" w:id="0">
    <w:p w:rsidR="00AA4316" w:rsidRDefault="00AA4316" w:rsidP="00AA4316">
      <w:pPr>
        <w:spacing w:after="0" w:line="240" w:lineRule="auto"/>
      </w:pPr>
      <w:r>
        <w:continuationSeparator/>
      </w:r>
    </w:p>
  </w:footnote>
  <w:footnote w:id="1">
    <w:p w:rsidR="00110B7B" w:rsidRPr="00110B7B" w:rsidRDefault="00110B7B">
      <w:pPr>
        <w:pStyle w:val="Notedebasdepage"/>
      </w:pPr>
      <w:r>
        <w:rPr>
          <w:rStyle w:val="Appelnotedebasdep"/>
        </w:rPr>
        <w:footnoteRef/>
      </w:r>
      <w:r>
        <w:t xml:space="preserve"> Commission européenne, </w:t>
      </w:r>
      <w:r>
        <w:rPr>
          <w:i/>
        </w:rPr>
        <w:t>Un budget moderne pour une Union qui protège, qui donne les moyens d’agir et qui défend,</w:t>
      </w:r>
      <w:r>
        <w:t xml:space="preserve"> COM(2018) 321 final, 2 mai 2018. </w:t>
      </w:r>
    </w:p>
  </w:footnote>
  <w:footnote w:id="2">
    <w:p w:rsidR="00110B7B" w:rsidRDefault="00110B7B">
      <w:pPr>
        <w:pStyle w:val="Notedebasdepage"/>
      </w:pPr>
      <w:r>
        <w:rPr>
          <w:rStyle w:val="Appelnotedebasdep"/>
        </w:rPr>
        <w:footnoteRef/>
      </w:r>
      <w:r>
        <w:t xml:space="preserve"> Publication des propositions de la Commission par thématiques et axes des financements tout au long du mois de juin 2018. </w:t>
      </w:r>
    </w:p>
  </w:footnote>
  <w:footnote w:id="3">
    <w:p w:rsidR="00ED6941" w:rsidRPr="00ED6941" w:rsidRDefault="00ED6941">
      <w:pPr>
        <w:pStyle w:val="Notedebasdepage"/>
      </w:pPr>
      <w:r>
        <w:rPr>
          <w:rStyle w:val="Appelnotedebasdep"/>
        </w:rPr>
        <w:footnoteRef/>
      </w:r>
      <w:r>
        <w:t xml:space="preserve"> Commission européenne, </w:t>
      </w:r>
      <w:r w:rsidRPr="00ED6941">
        <w:rPr>
          <w:i/>
        </w:rPr>
        <w:t>Budget de l’Union :</w:t>
      </w:r>
      <w:r>
        <w:t xml:space="preserve"> </w:t>
      </w:r>
      <w:r>
        <w:rPr>
          <w:i/>
        </w:rPr>
        <w:t>La Commission propose une importante augmentation des financements visant à renforcer la gestion des migrations et des frontières,</w:t>
      </w:r>
      <w:r>
        <w:t xml:space="preserve"> 12 juin 2018. </w:t>
      </w:r>
    </w:p>
  </w:footnote>
  <w:footnote w:id="4">
    <w:p w:rsidR="00F3355F" w:rsidRDefault="00F3355F">
      <w:pPr>
        <w:pStyle w:val="Notedebasdepage"/>
      </w:pPr>
      <w:r>
        <w:rPr>
          <w:rStyle w:val="Appelnotedebasdep"/>
        </w:rPr>
        <w:footnoteRef/>
      </w:r>
      <w:r>
        <w:t xml:space="preserve"> Le socle européen des droits sociaux, 17 novembre 2017, </w:t>
      </w:r>
      <w:hyperlink r:id="rId1" w:history="1">
        <w:r w:rsidRPr="00EE2BE1">
          <w:rPr>
            <w:rStyle w:val="Lienhypertexte"/>
          </w:rPr>
          <w:t>https://ec.europa.eu/commission/sites/beta-political/files/social-summit-european-pillar-social-rights-booklet_fr.pdf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316" w:rsidRDefault="00D77729">
    <w:pPr>
      <w:pStyle w:val="En-tte"/>
    </w:pPr>
    <w:r w:rsidRPr="00A61995">
      <w:rPr>
        <w:noProof/>
        <w:lang w:eastAsia="fr-FR"/>
      </w:rPr>
      <w:drawing>
        <wp:anchor distT="0" distB="0" distL="114300" distR="114300" simplePos="0" relativeHeight="251661312" behindDoc="0" locked="0" layoutInCell="1" allowOverlap="1" wp14:anchorId="41A2ED86" wp14:editId="227F0AF8">
          <wp:simplePos x="0" y="0"/>
          <wp:positionH relativeFrom="margin">
            <wp:posOffset>4046220</wp:posOffset>
          </wp:positionH>
          <wp:positionV relativeFrom="topMargin">
            <wp:posOffset>337820</wp:posOffset>
          </wp:positionV>
          <wp:extent cx="1350010" cy="741680"/>
          <wp:effectExtent l="0" t="0" r="2540" b="1270"/>
          <wp:wrapTopAndBottom/>
          <wp:docPr id="4" name="Image 3" descr="Fami_l'europe se mobili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_l'europe se mobilise.png"/>
                  <pic:cNvPicPr/>
                </pic:nvPicPr>
                <pic:blipFill>
                  <a:blip r:embed="rId1"/>
                  <a:stretch>
                    <a:fillRect/>
                  </a:stretch>
                </pic:blipFill>
                <pic:spPr>
                  <a:xfrm>
                    <a:off x="0" y="0"/>
                    <a:ext cx="1350010" cy="741680"/>
                  </a:xfrm>
                  <a:prstGeom prst="rect">
                    <a:avLst/>
                  </a:prstGeom>
                </pic:spPr>
              </pic:pic>
            </a:graphicData>
          </a:graphic>
        </wp:anchor>
      </w:drawing>
    </w:r>
    <w:r>
      <w:rPr>
        <w:rFonts w:ascii="Arial" w:hAnsi="Arial" w:cs="Arial"/>
        <w:noProof/>
        <w:sz w:val="50"/>
        <w:szCs w:val="50"/>
        <w:lang w:eastAsia="fr-FR"/>
      </w:rPr>
      <w:drawing>
        <wp:anchor distT="0" distB="0" distL="114300" distR="114300" simplePos="0" relativeHeight="251659264" behindDoc="1" locked="0" layoutInCell="1" allowOverlap="1" wp14:anchorId="12DCB8FB" wp14:editId="38B13D44">
          <wp:simplePos x="0" y="0"/>
          <wp:positionH relativeFrom="margin">
            <wp:posOffset>381000</wp:posOffset>
          </wp:positionH>
          <wp:positionV relativeFrom="margin">
            <wp:posOffset>-1028065</wp:posOffset>
          </wp:positionV>
          <wp:extent cx="3360420" cy="850900"/>
          <wp:effectExtent l="0" t="0" r="0" b="6350"/>
          <wp:wrapTopAndBottom/>
          <wp:docPr id="2" name="Image 0" descr="LOGO FOREFCO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EFCOSI.png"/>
                  <pic:cNvPicPr/>
                </pic:nvPicPr>
                <pic:blipFill>
                  <a:blip r:embed="rId2" cstate="print"/>
                  <a:stretch>
                    <a:fillRect/>
                  </a:stretch>
                </pic:blipFill>
                <pic:spPr>
                  <a:xfrm>
                    <a:off x="0" y="0"/>
                    <a:ext cx="3360420" cy="850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F6187"/>
    <w:multiLevelType w:val="hybridMultilevel"/>
    <w:tmpl w:val="7FB83EB8"/>
    <w:lvl w:ilvl="0" w:tplc="4DE6CE36">
      <w:start w:val="2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FA42D6"/>
    <w:multiLevelType w:val="hybridMultilevel"/>
    <w:tmpl w:val="D4043FE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296B94"/>
    <w:multiLevelType w:val="hybridMultilevel"/>
    <w:tmpl w:val="CC1853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4328B3"/>
    <w:multiLevelType w:val="hybridMultilevel"/>
    <w:tmpl w:val="506485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0DA0D4A"/>
    <w:multiLevelType w:val="hybridMultilevel"/>
    <w:tmpl w:val="6790A036"/>
    <w:lvl w:ilvl="0" w:tplc="040C0017">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5" w15:restartNumberingAfterBreak="0">
    <w:nsid w:val="26071380"/>
    <w:multiLevelType w:val="hybridMultilevel"/>
    <w:tmpl w:val="0F208BD0"/>
    <w:lvl w:ilvl="0" w:tplc="AF3E6A0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F1C1452"/>
    <w:multiLevelType w:val="hybridMultilevel"/>
    <w:tmpl w:val="2848B13A"/>
    <w:lvl w:ilvl="0" w:tplc="2D3CBB76">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A27A46"/>
    <w:multiLevelType w:val="hybridMultilevel"/>
    <w:tmpl w:val="5810BA6C"/>
    <w:lvl w:ilvl="0" w:tplc="AF3E6A0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4584EDF"/>
    <w:multiLevelType w:val="hybridMultilevel"/>
    <w:tmpl w:val="597C7948"/>
    <w:lvl w:ilvl="0" w:tplc="040C000F">
      <w:start w:val="1"/>
      <w:numFmt w:val="decimal"/>
      <w:lvlText w:val="%1."/>
      <w:lvlJc w:val="left"/>
      <w:pPr>
        <w:ind w:left="1068" w:hanging="360"/>
      </w:p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15:restartNumberingAfterBreak="0">
    <w:nsid w:val="36FE653D"/>
    <w:multiLevelType w:val="hybridMultilevel"/>
    <w:tmpl w:val="28F2203A"/>
    <w:lvl w:ilvl="0" w:tplc="AF3E6A0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A2533FE"/>
    <w:multiLevelType w:val="hybridMultilevel"/>
    <w:tmpl w:val="9F0E7C82"/>
    <w:lvl w:ilvl="0" w:tplc="1922A0BA">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EF5CE9"/>
    <w:multiLevelType w:val="hybridMultilevel"/>
    <w:tmpl w:val="08C020A8"/>
    <w:lvl w:ilvl="0" w:tplc="E24AEEF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C3649CB"/>
    <w:multiLevelType w:val="hybridMultilevel"/>
    <w:tmpl w:val="6790A036"/>
    <w:lvl w:ilvl="0" w:tplc="040C0017">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3" w15:restartNumberingAfterBreak="0">
    <w:nsid w:val="69AD5E63"/>
    <w:multiLevelType w:val="hybridMultilevel"/>
    <w:tmpl w:val="A1C8285E"/>
    <w:lvl w:ilvl="0" w:tplc="040C0017">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4" w15:restartNumberingAfterBreak="0">
    <w:nsid w:val="6AA805C5"/>
    <w:multiLevelType w:val="hybridMultilevel"/>
    <w:tmpl w:val="FCF00F4C"/>
    <w:lvl w:ilvl="0" w:tplc="1580586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2"/>
  </w:num>
  <w:num w:numId="5">
    <w:abstractNumId w:val="5"/>
  </w:num>
  <w:num w:numId="6">
    <w:abstractNumId w:val="7"/>
  </w:num>
  <w:num w:numId="7">
    <w:abstractNumId w:val="9"/>
  </w:num>
  <w:num w:numId="8">
    <w:abstractNumId w:val="14"/>
  </w:num>
  <w:num w:numId="9">
    <w:abstractNumId w:val="11"/>
  </w:num>
  <w:num w:numId="10">
    <w:abstractNumId w:val="1"/>
  </w:num>
  <w:num w:numId="11">
    <w:abstractNumId w:val="6"/>
  </w:num>
  <w:num w:numId="12">
    <w:abstractNumId w:val="3"/>
  </w:num>
  <w:num w:numId="13">
    <w:abstractNumId w:val="13"/>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F9"/>
    <w:rsid w:val="0002563D"/>
    <w:rsid w:val="000545A1"/>
    <w:rsid w:val="000617FE"/>
    <w:rsid w:val="00092C05"/>
    <w:rsid w:val="000D1AF0"/>
    <w:rsid w:val="000D5AA8"/>
    <w:rsid w:val="00110B7B"/>
    <w:rsid w:val="00146D76"/>
    <w:rsid w:val="00187987"/>
    <w:rsid w:val="001B77A6"/>
    <w:rsid w:val="00223579"/>
    <w:rsid w:val="002B4239"/>
    <w:rsid w:val="002F73BD"/>
    <w:rsid w:val="003067CE"/>
    <w:rsid w:val="00347649"/>
    <w:rsid w:val="00355D97"/>
    <w:rsid w:val="00364DA4"/>
    <w:rsid w:val="003B1D4B"/>
    <w:rsid w:val="00431091"/>
    <w:rsid w:val="004320FD"/>
    <w:rsid w:val="004640CC"/>
    <w:rsid w:val="004660CC"/>
    <w:rsid w:val="00492B67"/>
    <w:rsid w:val="004D6DF5"/>
    <w:rsid w:val="004E0276"/>
    <w:rsid w:val="004E185A"/>
    <w:rsid w:val="00562AF6"/>
    <w:rsid w:val="005C41CF"/>
    <w:rsid w:val="00644679"/>
    <w:rsid w:val="00667B01"/>
    <w:rsid w:val="00675C37"/>
    <w:rsid w:val="006B7710"/>
    <w:rsid w:val="00703154"/>
    <w:rsid w:val="007A0648"/>
    <w:rsid w:val="007B770A"/>
    <w:rsid w:val="007D227D"/>
    <w:rsid w:val="007D50EC"/>
    <w:rsid w:val="008009D6"/>
    <w:rsid w:val="008248FE"/>
    <w:rsid w:val="008748F9"/>
    <w:rsid w:val="008957DD"/>
    <w:rsid w:val="008D55B9"/>
    <w:rsid w:val="008F4DE5"/>
    <w:rsid w:val="00907CB6"/>
    <w:rsid w:val="009645AB"/>
    <w:rsid w:val="00970EB8"/>
    <w:rsid w:val="009B101C"/>
    <w:rsid w:val="009D54FC"/>
    <w:rsid w:val="009E7FE1"/>
    <w:rsid w:val="009F636A"/>
    <w:rsid w:val="009F708D"/>
    <w:rsid w:val="00A102A3"/>
    <w:rsid w:val="00A944FD"/>
    <w:rsid w:val="00AA4316"/>
    <w:rsid w:val="00AF360F"/>
    <w:rsid w:val="00B15208"/>
    <w:rsid w:val="00B30E59"/>
    <w:rsid w:val="00B759DA"/>
    <w:rsid w:val="00B77250"/>
    <w:rsid w:val="00B872CC"/>
    <w:rsid w:val="00C903BC"/>
    <w:rsid w:val="00CC38AA"/>
    <w:rsid w:val="00D17EA4"/>
    <w:rsid w:val="00D27C81"/>
    <w:rsid w:val="00D77729"/>
    <w:rsid w:val="00DB5512"/>
    <w:rsid w:val="00DE68E0"/>
    <w:rsid w:val="00DF718D"/>
    <w:rsid w:val="00E31001"/>
    <w:rsid w:val="00E344FC"/>
    <w:rsid w:val="00E71478"/>
    <w:rsid w:val="00ED6941"/>
    <w:rsid w:val="00EE2E9A"/>
    <w:rsid w:val="00F04BE2"/>
    <w:rsid w:val="00F322B9"/>
    <w:rsid w:val="00F3355F"/>
    <w:rsid w:val="00FD011B"/>
    <w:rsid w:val="00FD445E"/>
    <w:rsid w:val="00FE3914"/>
    <w:rsid w:val="00FF3C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82A5A8F-ACE3-4084-AE29-48A00926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17FE"/>
    <w:pPr>
      <w:ind w:left="720"/>
      <w:contextualSpacing/>
    </w:pPr>
  </w:style>
  <w:style w:type="character" w:styleId="Lienhypertexte">
    <w:name w:val="Hyperlink"/>
    <w:basedOn w:val="Policepardfaut"/>
    <w:uiPriority w:val="99"/>
    <w:unhideWhenUsed/>
    <w:rsid w:val="00FD011B"/>
    <w:rPr>
      <w:color w:val="0563C1" w:themeColor="hyperlink"/>
      <w:u w:val="single"/>
    </w:rPr>
  </w:style>
  <w:style w:type="paragraph" w:styleId="En-tte">
    <w:name w:val="header"/>
    <w:basedOn w:val="Normal"/>
    <w:link w:val="En-tteCar"/>
    <w:uiPriority w:val="99"/>
    <w:unhideWhenUsed/>
    <w:rsid w:val="00AA4316"/>
    <w:pPr>
      <w:tabs>
        <w:tab w:val="center" w:pos="4536"/>
        <w:tab w:val="right" w:pos="9072"/>
      </w:tabs>
      <w:spacing w:after="0" w:line="240" w:lineRule="auto"/>
    </w:pPr>
  </w:style>
  <w:style w:type="character" w:customStyle="1" w:styleId="En-tteCar">
    <w:name w:val="En-tête Car"/>
    <w:basedOn w:val="Policepardfaut"/>
    <w:link w:val="En-tte"/>
    <w:uiPriority w:val="99"/>
    <w:rsid w:val="00AA4316"/>
  </w:style>
  <w:style w:type="paragraph" w:styleId="Pieddepage">
    <w:name w:val="footer"/>
    <w:basedOn w:val="Normal"/>
    <w:link w:val="PieddepageCar"/>
    <w:uiPriority w:val="99"/>
    <w:unhideWhenUsed/>
    <w:rsid w:val="00AA43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4316"/>
  </w:style>
  <w:style w:type="paragraph" w:styleId="Notedebasdepage">
    <w:name w:val="footnote text"/>
    <w:basedOn w:val="Normal"/>
    <w:link w:val="NotedebasdepageCar"/>
    <w:uiPriority w:val="99"/>
    <w:semiHidden/>
    <w:unhideWhenUsed/>
    <w:rsid w:val="00AF360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F360F"/>
    <w:rPr>
      <w:sz w:val="20"/>
      <w:szCs w:val="20"/>
    </w:rPr>
  </w:style>
  <w:style w:type="character" w:styleId="Appelnotedebasdep">
    <w:name w:val="footnote reference"/>
    <w:basedOn w:val="Policepardfaut"/>
    <w:uiPriority w:val="99"/>
    <w:semiHidden/>
    <w:unhideWhenUsed/>
    <w:rsid w:val="00AF360F"/>
    <w:rPr>
      <w:vertAlign w:val="superscript"/>
    </w:rPr>
  </w:style>
  <w:style w:type="paragraph" w:customStyle="1" w:styleId="Default">
    <w:name w:val="Default"/>
    <w:rsid w:val="009E7FE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4660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9645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717258">
      <w:bodyDiv w:val="1"/>
      <w:marLeft w:val="0"/>
      <w:marRight w:val="0"/>
      <w:marTop w:val="0"/>
      <w:marBottom w:val="0"/>
      <w:divBdr>
        <w:top w:val="none" w:sz="0" w:space="0" w:color="auto"/>
        <w:left w:val="none" w:sz="0" w:space="0" w:color="auto"/>
        <w:bottom w:val="none" w:sz="0" w:space="0" w:color="auto"/>
        <w:right w:val="none" w:sz="0" w:space="0" w:color="auto"/>
      </w:divBdr>
    </w:div>
    <w:div w:id="186031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uropa.eu/rapid/press-release_IP-18-4106_fr.htm" TargetMode="External"/><Relationship Id="rId18" Type="http://schemas.openxmlformats.org/officeDocument/2006/relationships/hyperlink" Target="https://ec.europa.eu/commission/sites/beta-political/files/budget-may2018-asylum-migration-fund-annex_fr.pdf" TargetMode="External"/><Relationship Id="rId26" Type="http://schemas.openxmlformats.org/officeDocument/2006/relationships/hyperlink" Target="https://ec.europa.eu/commission/sites/beta-political/files/budget-may2018-european-social-fund-plus-regulation_fr.pdf" TargetMode="External"/><Relationship Id="rId3" Type="http://schemas.openxmlformats.org/officeDocument/2006/relationships/styles" Target="styles.xml"/><Relationship Id="rId21" Type="http://schemas.openxmlformats.org/officeDocument/2006/relationships/hyperlink" Target="https://eur-lex.europa.eu/legal-content/FR/TXT/?uri=CELEX:52018PC0372" TargetMode="External"/><Relationship Id="rId7" Type="http://schemas.openxmlformats.org/officeDocument/2006/relationships/endnotes" Target="endnotes.xml"/><Relationship Id="rId12" Type="http://schemas.openxmlformats.org/officeDocument/2006/relationships/hyperlink" Target="https://ec.europa.eu/commission/sites/beta-political/files/budget-may2018-more-opportunities-synergies_fr.pdf" TargetMode="External"/><Relationship Id="rId17" Type="http://schemas.openxmlformats.org/officeDocument/2006/relationships/hyperlink" Target="https://ec.europa.eu/commission/sites/beta-political/files/budget-may2018-asylum-migration-fund-regulation_fr.pdf" TargetMode="External"/><Relationship Id="rId25" Type="http://schemas.openxmlformats.org/officeDocument/2006/relationships/hyperlink" Target="http://europa.eu/rapid/press-release_MEMO-18-3922_fr.htm" TargetMode="External"/><Relationship Id="rId2" Type="http://schemas.openxmlformats.org/officeDocument/2006/relationships/numbering" Target="numbering.xml"/><Relationship Id="rId16" Type="http://schemas.openxmlformats.org/officeDocument/2006/relationships/hyperlink" Target="https://ec.europa.eu/commission/sites/beta-political/files/budget-may2018-securing-external-borders_en.pdf" TargetMode="External"/><Relationship Id="rId20" Type="http://schemas.openxmlformats.org/officeDocument/2006/relationships/hyperlink" Target="http://europa.eu/rapid/press-release_MEMO-18-3866_fr.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commission/future-europe/eu-budget-future_fr" TargetMode="External"/><Relationship Id="rId24" Type="http://schemas.openxmlformats.org/officeDocument/2006/relationships/hyperlink" Target="http://europa.eu/rapid/press-release_IP-18-3923_fr.ht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europa.eu/commission/sites/beta-political/files/budget-proposals-migration-border-management-may2018_fr.pdf" TargetMode="External"/><Relationship Id="rId23" Type="http://schemas.openxmlformats.org/officeDocument/2006/relationships/hyperlink" Target="https://ec.europa.eu/commission/sites/beta-political/files/budget-may2018-tailored-approach-regional-needs_fr.pdf" TargetMode="External"/><Relationship Id="rId28" Type="http://schemas.openxmlformats.org/officeDocument/2006/relationships/hyperlink" Target="https://ec.europa.eu/commission/sites/beta-political/files/budget-may2018-social-globalisation-funds_fr.pdf" TargetMode="External"/><Relationship Id="rId10" Type="http://schemas.openxmlformats.org/officeDocument/2006/relationships/image" Target="media/image2.png"/><Relationship Id="rId19" Type="http://schemas.openxmlformats.org/officeDocument/2006/relationships/hyperlink" Target="http://europa.eu/rapid/press-release_IP-18-3885_fr.ht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uropa.eu/rapid/press-release_IP-18-4106_fr.htm" TargetMode="External"/><Relationship Id="rId14" Type="http://schemas.openxmlformats.org/officeDocument/2006/relationships/hyperlink" Target="http://europa.eu/rapid/press-release_MEMO-18-4127_fr.htm" TargetMode="External"/><Relationship Id="rId22" Type="http://schemas.openxmlformats.org/officeDocument/2006/relationships/hyperlink" Target="https://ec.europa.eu/commission/sites/beta-political/files/budget-may2018-new-framework-glance_fr.pdf" TargetMode="External"/><Relationship Id="rId27" Type="http://schemas.openxmlformats.org/officeDocument/2006/relationships/hyperlink" Target="https://ec.europa.eu/commission/sites/beta-political/files/budget-may2018-european-social-fund-plus-annex_fr.pdf"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sites/beta-political/files/social-summit-european-pillar-social-rights-booklet_fr.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6EEBE-2079-475A-9262-F7FAF2B99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9186</TotalTime>
  <Pages>7</Pages>
  <Words>3082</Words>
  <Characters>16952</Characters>
  <Application>Microsoft Office Word</Application>
  <DocSecurity>0</DocSecurity>
  <Lines>141</Lines>
  <Paragraphs>39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QUEVAL</dc:creator>
  <cp:keywords/>
  <dc:description/>
  <cp:lastModifiedBy>Cecile QUEVAL</cp:lastModifiedBy>
  <cp:revision>16</cp:revision>
  <dcterms:created xsi:type="dcterms:W3CDTF">2018-06-06T13:28:00Z</dcterms:created>
  <dcterms:modified xsi:type="dcterms:W3CDTF">2018-08-22T07:14:00Z</dcterms:modified>
</cp:coreProperties>
</file>